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27838" w14:textId="154D622E" w:rsidR="00E4175C" w:rsidRDefault="00CA0E96" w:rsidP="00BB6445">
      <w:pPr>
        <w:jc w:val="both"/>
        <w:rPr>
          <w:rFonts w:ascii="Times New Roman" w:hAnsi="Times New Roman" w:cs="Times New Roman"/>
          <w:b/>
          <w:bCs/>
          <w:sz w:val="30"/>
          <w:szCs w:val="30"/>
          <w:u w:val="single"/>
          <w:lang w:val="en-US"/>
        </w:rPr>
      </w:pPr>
      <w:r w:rsidRPr="00BB6445">
        <w:rPr>
          <w:rFonts w:ascii="Times New Roman" w:hAnsi="Times New Roman" w:cs="Times New Roman"/>
          <w:b/>
          <w:bCs/>
          <w:sz w:val="30"/>
          <w:szCs w:val="30"/>
          <w:u w:val="single"/>
          <w:lang w:val="en-US"/>
        </w:rPr>
        <w:t>FOOD SECURITY AGENDA SHOULD BE PART OF THE SANCTIONS DISCUSSION</w:t>
      </w:r>
    </w:p>
    <w:p w14:paraId="54BC4D4F" w14:textId="77777777" w:rsidR="00BB6445" w:rsidRPr="00BB6445" w:rsidRDefault="00BB6445" w:rsidP="00BB6445">
      <w:pPr>
        <w:jc w:val="both"/>
        <w:rPr>
          <w:rFonts w:ascii="Times New Roman" w:hAnsi="Times New Roman" w:cs="Times New Roman"/>
          <w:sz w:val="30"/>
          <w:szCs w:val="30"/>
          <w:lang w:val="en-US"/>
        </w:rPr>
      </w:pPr>
    </w:p>
    <w:p w14:paraId="4C891FF0" w14:textId="77777777" w:rsidR="00BB6445" w:rsidRDefault="00B2653A" w:rsidP="00BB6445">
      <w:pPr>
        <w:jc w:val="both"/>
        <w:rPr>
          <w:rFonts w:ascii="Times New Roman" w:hAnsi="Times New Roman" w:cs="Times New Roman"/>
          <w:sz w:val="30"/>
          <w:szCs w:val="30"/>
          <w:lang w:val="en-US"/>
        </w:rPr>
      </w:pPr>
      <w:r w:rsidRPr="00BB6445">
        <w:rPr>
          <w:rFonts w:ascii="Times New Roman" w:hAnsi="Times New Roman" w:cs="Times New Roman"/>
          <w:sz w:val="30"/>
          <w:szCs w:val="30"/>
          <w:lang w:val="en-US"/>
        </w:rPr>
        <w:t>Removing 20% of Potash from the market can create very adverse impacts in the whole food chain.</w:t>
      </w:r>
    </w:p>
    <w:p w14:paraId="3942A6D9" w14:textId="77777777" w:rsidR="00BB6445" w:rsidRDefault="00B2653A" w:rsidP="00BB6445">
      <w:pPr>
        <w:jc w:val="both"/>
        <w:rPr>
          <w:rFonts w:ascii="Times New Roman" w:hAnsi="Times New Roman" w:cs="Times New Roman"/>
          <w:sz w:val="30"/>
          <w:szCs w:val="30"/>
          <w:lang w:val="en-US"/>
        </w:rPr>
      </w:pPr>
      <w:r w:rsidRPr="00BB6445">
        <w:rPr>
          <w:rFonts w:ascii="Times New Roman" w:hAnsi="Times New Roman" w:cs="Times New Roman"/>
          <w:sz w:val="30"/>
          <w:szCs w:val="30"/>
          <w:lang w:val="en-US"/>
        </w:rPr>
        <w:t>Potash is a key nutrient for all plants, all around the globe, and has no su</w:t>
      </w:r>
      <w:bookmarkStart w:id="0" w:name="_GoBack"/>
      <w:bookmarkEnd w:id="0"/>
      <w:r w:rsidRPr="00BB6445">
        <w:rPr>
          <w:rFonts w:ascii="Times New Roman" w:hAnsi="Times New Roman" w:cs="Times New Roman"/>
          <w:sz w:val="30"/>
          <w:szCs w:val="30"/>
          <w:lang w:val="en-US"/>
        </w:rPr>
        <w:t>bstitutes.</w:t>
      </w:r>
    </w:p>
    <w:p w14:paraId="7CAE7A35" w14:textId="77777777" w:rsidR="00BB6445" w:rsidRDefault="00B2653A" w:rsidP="00BB6445">
      <w:pPr>
        <w:jc w:val="both"/>
        <w:rPr>
          <w:rFonts w:ascii="Times New Roman" w:hAnsi="Times New Roman" w:cs="Times New Roman"/>
          <w:sz w:val="30"/>
          <w:szCs w:val="30"/>
          <w:lang w:val="en-US"/>
        </w:rPr>
      </w:pPr>
      <w:r w:rsidRPr="00BB6445">
        <w:rPr>
          <w:rFonts w:ascii="Times New Roman" w:hAnsi="Times New Roman" w:cs="Times New Roman"/>
          <w:sz w:val="30"/>
          <w:szCs w:val="30"/>
          <w:lang w:val="en-US"/>
        </w:rPr>
        <w:t>Production is very concentrated, with Canada, Russia and Belarus representing about 70% of global production.</w:t>
      </w:r>
    </w:p>
    <w:p w14:paraId="4D8B57F4" w14:textId="77777777" w:rsidR="00BB6445" w:rsidRDefault="00B2653A" w:rsidP="00BB6445">
      <w:pPr>
        <w:jc w:val="both"/>
        <w:rPr>
          <w:rFonts w:ascii="Times New Roman" w:hAnsi="Times New Roman" w:cs="Times New Roman"/>
          <w:sz w:val="30"/>
          <w:szCs w:val="30"/>
          <w:lang w:val="en-US"/>
        </w:rPr>
      </w:pPr>
      <w:proofErr w:type="spellStart"/>
      <w:r w:rsidRPr="00BB6445">
        <w:rPr>
          <w:rFonts w:ascii="Times New Roman" w:hAnsi="Times New Roman" w:cs="Times New Roman"/>
          <w:sz w:val="30"/>
          <w:szCs w:val="30"/>
          <w:lang w:val="en-US"/>
        </w:rPr>
        <w:t>Belarus</w:t>
      </w:r>
      <w:r w:rsidR="005B5BB3" w:rsidRPr="00BB6445">
        <w:rPr>
          <w:rFonts w:ascii="Times New Roman" w:hAnsi="Times New Roman" w:cs="Times New Roman"/>
          <w:sz w:val="30"/>
          <w:szCs w:val="30"/>
          <w:lang w:val="en-US"/>
        </w:rPr>
        <w:t>kali</w:t>
      </w:r>
      <w:proofErr w:type="spellEnd"/>
      <w:r w:rsidR="005B5BB3" w:rsidRPr="00BB6445">
        <w:rPr>
          <w:rFonts w:ascii="Times New Roman" w:hAnsi="Times New Roman" w:cs="Times New Roman"/>
          <w:sz w:val="30"/>
          <w:szCs w:val="30"/>
          <w:lang w:val="en-US"/>
        </w:rPr>
        <w:t xml:space="preserve"> is the largest Potash producer in the world, accounts for</w:t>
      </w:r>
      <w:r w:rsidRPr="00BB6445">
        <w:rPr>
          <w:rFonts w:ascii="Times New Roman" w:hAnsi="Times New Roman" w:cs="Times New Roman"/>
          <w:sz w:val="30"/>
          <w:szCs w:val="30"/>
          <w:lang w:val="en-US"/>
        </w:rPr>
        <w:t xml:space="preserve"> 20% of world Potash exports, and cannot be replaced on short notice (new mines take long years and big investments)</w:t>
      </w:r>
      <w:r w:rsidR="00BB6445" w:rsidRPr="00BB6445">
        <w:rPr>
          <w:rFonts w:ascii="Times New Roman" w:hAnsi="Times New Roman" w:cs="Times New Roman"/>
          <w:sz w:val="30"/>
          <w:szCs w:val="30"/>
          <w:lang w:val="en-US"/>
        </w:rPr>
        <w:t xml:space="preserve">. </w:t>
      </w:r>
    </w:p>
    <w:p w14:paraId="4238D941" w14:textId="77777777" w:rsidR="00BB6445" w:rsidRDefault="00B2653A" w:rsidP="00BB6445">
      <w:pPr>
        <w:jc w:val="both"/>
        <w:rPr>
          <w:rFonts w:ascii="Times New Roman" w:hAnsi="Times New Roman" w:cs="Times New Roman"/>
          <w:sz w:val="30"/>
          <w:szCs w:val="30"/>
          <w:lang w:val="en-US"/>
        </w:rPr>
      </w:pPr>
      <w:r w:rsidRPr="00BB6445">
        <w:rPr>
          <w:rFonts w:ascii="Times New Roman" w:hAnsi="Times New Roman" w:cs="Times New Roman"/>
          <w:sz w:val="30"/>
          <w:szCs w:val="30"/>
          <w:lang w:val="en-US"/>
        </w:rPr>
        <w:t xml:space="preserve">Removing Belarus from the picture, total or partially, will further increase </w:t>
      </w:r>
      <w:r w:rsidR="00CA0E96" w:rsidRPr="00BB6445">
        <w:rPr>
          <w:rFonts w:ascii="Times New Roman" w:hAnsi="Times New Roman" w:cs="Times New Roman"/>
          <w:sz w:val="30"/>
          <w:szCs w:val="30"/>
          <w:lang w:val="en-US"/>
        </w:rPr>
        <w:t xml:space="preserve">concentration </w:t>
      </w:r>
      <w:r w:rsidRPr="00BB6445">
        <w:rPr>
          <w:rFonts w:ascii="Times New Roman" w:hAnsi="Times New Roman" w:cs="Times New Roman"/>
          <w:sz w:val="30"/>
          <w:szCs w:val="30"/>
          <w:lang w:val="en-US"/>
        </w:rPr>
        <w:t xml:space="preserve">towards Canada, but especially Russia. </w:t>
      </w:r>
    </w:p>
    <w:p w14:paraId="5E1718E3" w14:textId="7B713CDD" w:rsidR="00B2653A" w:rsidRPr="00BB6445" w:rsidRDefault="00B2653A" w:rsidP="00BB6445">
      <w:pPr>
        <w:jc w:val="both"/>
        <w:rPr>
          <w:rFonts w:ascii="Times New Roman" w:hAnsi="Times New Roman" w:cs="Times New Roman"/>
          <w:sz w:val="30"/>
          <w:szCs w:val="30"/>
          <w:lang w:val="en-US"/>
        </w:rPr>
      </w:pPr>
      <w:r w:rsidRPr="00BB6445">
        <w:rPr>
          <w:rFonts w:ascii="Times New Roman" w:hAnsi="Times New Roman" w:cs="Times New Roman"/>
          <w:sz w:val="30"/>
          <w:szCs w:val="30"/>
          <w:lang w:val="en-US"/>
        </w:rPr>
        <w:t>Market is very balanced/tight already, and sanctions discussions have already impacted potash price</w:t>
      </w:r>
      <w:r w:rsidR="005B5BB3" w:rsidRPr="00BB6445">
        <w:rPr>
          <w:rFonts w:ascii="Times New Roman" w:hAnsi="Times New Roman" w:cs="Times New Roman"/>
          <w:sz w:val="30"/>
          <w:szCs w:val="30"/>
          <w:lang w:val="en-US"/>
        </w:rPr>
        <w:t>s drastically.</w:t>
      </w:r>
      <w:r w:rsidR="00977363" w:rsidRPr="00BB6445">
        <w:rPr>
          <w:rFonts w:ascii="Times New Roman" w:hAnsi="Times New Roman" w:cs="Times New Roman"/>
          <w:sz w:val="30"/>
          <w:szCs w:val="30"/>
          <w:lang w:val="en-US"/>
        </w:rPr>
        <w:t xml:space="preserve"> Adjusted for the gas effect (N) and China </w:t>
      </w:r>
      <w:proofErr w:type="gramStart"/>
      <w:r w:rsidR="00977363" w:rsidRPr="00BB6445">
        <w:rPr>
          <w:rFonts w:ascii="Times New Roman" w:hAnsi="Times New Roman" w:cs="Times New Roman"/>
          <w:sz w:val="30"/>
          <w:szCs w:val="30"/>
          <w:lang w:val="en-US"/>
        </w:rPr>
        <w:t>restrictions</w:t>
      </w:r>
      <w:proofErr w:type="gramEnd"/>
      <w:r w:rsidR="00977363" w:rsidRPr="00BB6445">
        <w:rPr>
          <w:rFonts w:ascii="Times New Roman" w:hAnsi="Times New Roman" w:cs="Times New Roman"/>
          <w:sz w:val="30"/>
          <w:szCs w:val="30"/>
          <w:lang w:val="en-US"/>
        </w:rPr>
        <w:t xml:space="preserve"> on exports (P), the Potash prices have increase drastically more (almost 3 fold) compared to other nutrients.</w:t>
      </w:r>
    </w:p>
    <w:p w14:paraId="3138D34C" w14:textId="77777777" w:rsidR="00BB6445" w:rsidRDefault="00B2653A" w:rsidP="00BB6445">
      <w:pPr>
        <w:jc w:val="both"/>
        <w:rPr>
          <w:rFonts w:ascii="Times New Roman" w:hAnsi="Times New Roman" w:cs="Times New Roman"/>
          <w:sz w:val="30"/>
          <w:szCs w:val="30"/>
          <w:lang w:val="en-US"/>
        </w:rPr>
      </w:pPr>
      <w:r w:rsidRPr="00BB6445">
        <w:rPr>
          <w:rFonts w:ascii="Times New Roman" w:hAnsi="Times New Roman" w:cs="Times New Roman"/>
          <w:sz w:val="30"/>
          <w:szCs w:val="30"/>
          <w:lang w:val="en-US"/>
        </w:rPr>
        <w:t xml:space="preserve">Grain stocks are continuing to </w:t>
      </w:r>
      <w:r w:rsidR="005B5BB3" w:rsidRPr="00BB6445">
        <w:rPr>
          <w:rFonts w:ascii="Times New Roman" w:hAnsi="Times New Roman" w:cs="Times New Roman"/>
          <w:sz w:val="30"/>
          <w:szCs w:val="30"/>
          <w:lang w:val="en-US"/>
        </w:rPr>
        <w:t xml:space="preserve">dangerously </w:t>
      </w:r>
      <w:r w:rsidRPr="00BB6445">
        <w:rPr>
          <w:rFonts w:ascii="Times New Roman" w:hAnsi="Times New Roman" w:cs="Times New Roman"/>
          <w:sz w:val="30"/>
          <w:szCs w:val="30"/>
          <w:lang w:val="en-US"/>
        </w:rPr>
        <w:t>decrease</w:t>
      </w:r>
      <w:r w:rsidR="005B5BB3" w:rsidRPr="00BB6445">
        <w:rPr>
          <w:rFonts w:ascii="Times New Roman" w:hAnsi="Times New Roman" w:cs="Times New Roman"/>
          <w:sz w:val="30"/>
          <w:szCs w:val="30"/>
          <w:lang w:val="en-US"/>
        </w:rPr>
        <w:t>.</w:t>
      </w:r>
    </w:p>
    <w:p w14:paraId="049A1DEA" w14:textId="277A405F" w:rsidR="00BB6445" w:rsidRDefault="00B2653A" w:rsidP="00BB6445">
      <w:pPr>
        <w:jc w:val="both"/>
        <w:rPr>
          <w:rFonts w:ascii="Times New Roman" w:hAnsi="Times New Roman" w:cs="Times New Roman"/>
          <w:sz w:val="30"/>
          <w:szCs w:val="30"/>
          <w:lang w:val="en-US"/>
        </w:rPr>
      </w:pPr>
      <w:r w:rsidRPr="00BB6445">
        <w:rPr>
          <w:rFonts w:ascii="Times New Roman" w:hAnsi="Times New Roman" w:cs="Times New Roman"/>
          <w:sz w:val="30"/>
          <w:szCs w:val="30"/>
          <w:lang w:val="en-US"/>
        </w:rPr>
        <w:t xml:space="preserve">FAO Food Price Index is </w:t>
      </w:r>
      <w:r w:rsidR="005B5BB3" w:rsidRPr="00BB6445">
        <w:rPr>
          <w:rFonts w:ascii="Times New Roman" w:hAnsi="Times New Roman" w:cs="Times New Roman"/>
          <w:sz w:val="30"/>
          <w:szCs w:val="30"/>
          <w:lang w:val="en-US"/>
        </w:rPr>
        <w:t>at</w:t>
      </w:r>
      <w:r w:rsidRPr="00BB6445">
        <w:rPr>
          <w:rFonts w:ascii="Times New Roman" w:hAnsi="Times New Roman" w:cs="Times New Roman"/>
          <w:sz w:val="30"/>
          <w:szCs w:val="30"/>
          <w:lang w:val="en-US"/>
        </w:rPr>
        <w:t xml:space="preserve"> historical high, and continuing to raise.</w:t>
      </w:r>
    </w:p>
    <w:p w14:paraId="372291F5" w14:textId="10F7919E" w:rsidR="00B2653A" w:rsidRPr="00BB6445" w:rsidRDefault="00B2653A" w:rsidP="00BB6445">
      <w:pPr>
        <w:jc w:val="both"/>
        <w:rPr>
          <w:rFonts w:ascii="Times New Roman" w:hAnsi="Times New Roman" w:cs="Times New Roman"/>
          <w:sz w:val="30"/>
          <w:szCs w:val="30"/>
          <w:lang w:val="en-US"/>
        </w:rPr>
      </w:pPr>
      <w:r w:rsidRPr="00BB6445">
        <w:rPr>
          <w:rFonts w:ascii="Times New Roman" w:hAnsi="Times New Roman" w:cs="Times New Roman"/>
          <w:sz w:val="30"/>
          <w:szCs w:val="30"/>
          <w:lang w:val="en-US"/>
        </w:rPr>
        <w:t>More people are star</w:t>
      </w:r>
      <w:r w:rsidR="005B5BB3" w:rsidRPr="00BB6445">
        <w:rPr>
          <w:rFonts w:ascii="Times New Roman" w:hAnsi="Times New Roman" w:cs="Times New Roman"/>
          <w:sz w:val="30"/>
          <w:szCs w:val="30"/>
          <w:lang w:val="en-US"/>
        </w:rPr>
        <w:t>v</w:t>
      </w:r>
      <w:r w:rsidRPr="00BB6445">
        <w:rPr>
          <w:rFonts w:ascii="Times New Roman" w:hAnsi="Times New Roman" w:cs="Times New Roman"/>
          <w:sz w:val="30"/>
          <w:szCs w:val="30"/>
          <w:lang w:val="en-US"/>
        </w:rPr>
        <w:t xml:space="preserve">ing, </w:t>
      </w:r>
      <w:r w:rsidR="005B5BB3" w:rsidRPr="00BB6445">
        <w:rPr>
          <w:rFonts w:ascii="Times New Roman" w:hAnsi="Times New Roman" w:cs="Times New Roman"/>
          <w:sz w:val="30"/>
          <w:szCs w:val="30"/>
          <w:lang w:val="en-US"/>
        </w:rPr>
        <w:t>while food is becoming more scarce and expensive</w:t>
      </w:r>
      <w:r w:rsidRPr="00BB6445">
        <w:rPr>
          <w:rFonts w:ascii="Times New Roman" w:hAnsi="Times New Roman" w:cs="Times New Roman"/>
          <w:sz w:val="30"/>
          <w:szCs w:val="30"/>
          <w:lang w:val="en-US"/>
        </w:rPr>
        <w:t>.</w:t>
      </w:r>
    </w:p>
    <w:p w14:paraId="44464782" w14:textId="77777777" w:rsidR="00B2653A" w:rsidRPr="00BB6445" w:rsidRDefault="00B2653A" w:rsidP="00BB6445">
      <w:pPr>
        <w:jc w:val="both"/>
        <w:rPr>
          <w:rFonts w:ascii="Times New Roman" w:hAnsi="Times New Roman" w:cs="Times New Roman"/>
          <w:sz w:val="30"/>
          <w:szCs w:val="30"/>
          <w:lang w:val="en-US"/>
        </w:rPr>
      </w:pPr>
      <w:r w:rsidRPr="00BB6445">
        <w:rPr>
          <w:rFonts w:ascii="Times New Roman" w:hAnsi="Times New Roman" w:cs="Times New Roman"/>
          <w:sz w:val="30"/>
          <w:szCs w:val="30"/>
          <w:lang w:val="en-US"/>
        </w:rPr>
        <w:t>“Food production is needed rather urgently, and the world needs ALL fertilizers that can be supplied, including from Belarus”.</w:t>
      </w:r>
    </w:p>
    <w:p w14:paraId="57322875" w14:textId="77777777" w:rsidR="00B2653A" w:rsidRPr="00BB6445" w:rsidRDefault="00B2653A" w:rsidP="00BB6445">
      <w:pPr>
        <w:jc w:val="both"/>
        <w:rPr>
          <w:rFonts w:ascii="Times New Roman" w:hAnsi="Times New Roman" w:cs="Times New Roman"/>
          <w:sz w:val="30"/>
          <w:szCs w:val="30"/>
          <w:lang w:val="en-US"/>
        </w:rPr>
      </w:pPr>
    </w:p>
    <w:p w14:paraId="7EFF8128" w14:textId="77777777" w:rsidR="00E4175C" w:rsidRPr="00BB6445" w:rsidRDefault="00E4175C" w:rsidP="00BB6445">
      <w:pPr>
        <w:jc w:val="both"/>
        <w:rPr>
          <w:rFonts w:ascii="Times New Roman" w:hAnsi="Times New Roman" w:cs="Times New Roman"/>
          <w:b/>
          <w:bCs/>
          <w:sz w:val="30"/>
          <w:szCs w:val="30"/>
          <w:u w:val="single"/>
          <w:lang w:val="en-US"/>
        </w:rPr>
      </w:pPr>
      <w:r w:rsidRPr="00BB6445">
        <w:rPr>
          <w:rFonts w:ascii="Times New Roman" w:hAnsi="Times New Roman" w:cs="Times New Roman"/>
          <w:b/>
          <w:bCs/>
          <w:sz w:val="30"/>
          <w:szCs w:val="30"/>
          <w:u w:val="single"/>
          <w:lang w:val="en-US"/>
        </w:rPr>
        <w:br w:type="page"/>
      </w:r>
    </w:p>
    <w:p w14:paraId="3DF8B8B3" w14:textId="2EC9F8D6" w:rsidR="00F832B9" w:rsidRPr="00BB6445" w:rsidRDefault="00B2653A">
      <w:pPr>
        <w:rPr>
          <w:rFonts w:ascii="Times New Roman" w:hAnsi="Times New Roman" w:cs="Times New Roman"/>
          <w:b/>
          <w:bCs/>
          <w:sz w:val="30"/>
          <w:szCs w:val="30"/>
          <w:lang w:val="en-US"/>
        </w:rPr>
      </w:pPr>
      <w:r w:rsidRPr="00BB6445">
        <w:rPr>
          <w:rFonts w:ascii="Times New Roman" w:hAnsi="Times New Roman" w:cs="Times New Roman"/>
          <w:b/>
          <w:bCs/>
          <w:sz w:val="30"/>
          <w:szCs w:val="30"/>
          <w:lang w:val="en-US"/>
        </w:rPr>
        <w:lastRenderedPageBreak/>
        <w:t>WORLD POTASH PRODUCTION AND TRADE 2019 - IFA</w:t>
      </w:r>
    </w:p>
    <w:p w14:paraId="09D28159" w14:textId="2F9B6644" w:rsidR="00B2653A" w:rsidRDefault="00B2653A">
      <w:r w:rsidRPr="00B2653A">
        <w:rPr>
          <w:noProof/>
          <w:lang w:val="ru-RU" w:eastAsia="ru-RU"/>
        </w:rPr>
        <w:drawing>
          <wp:inline distT="0" distB="0" distL="0" distR="0" wp14:anchorId="6BB8F065" wp14:editId="6FC655B8">
            <wp:extent cx="5096312" cy="5865566"/>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5421" cy="5910579"/>
                    </a:xfrm>
                    <a:prstGeom prst="rect">
                      <a:avLst/>
                    </a:prstGeom>
                  </pic:spPr>
                </pic:pic>
              </a:graphicData>
            </a:graphic>
          </wp:inline>
        </w:drawing>
      </w:r>
    </w:p>
    <w:p w14:paraId="778433CA" w14:textId="0B25556D" w:rsidR="002C4762" w:rsidRPr="00BB6445" w:rsidRDefault="00E4175C">
      <w:pPr>
        <w:rPr>
          <w:rFonts w:ascii="Times New Roman" w:hAnsi="Times New Roman" w:cs="Times New Roman"/>
          <w:sz w:val="30"/>
          <w:szCs w:val="30"/>
          <w:lang w:val="en-US"/>
        </w:rPr>
      </w:pPr>
      <w:r w:rsidRPr="00BB6445">
        <w:rPr>
          <w:rFonts w:ascii="Times New Roman" w:hAnsi="Times New Roman" w:cs="Times New Roman"/>
          <w:sz w:val="30"/>
          <w:szCs w:val="30"/>
          <w:lang w:val="en-US"/>
        </w:rPr>
        <w:t xml:space="preserve">Potash trade is even more concentrated </w:t>
      </w:r>
      <w:r w:rsidR="00BB6445" w:rsidRPr="00BB6445">
        <w:rPr>
          <w:rFonts w:ascii="Times New Roman" w:hAnsi="Times New Roman" w:cs="Times New Roman"/>
          <w:sz w:val="30"/>
          <w:szCs w:val="30"/>
          <w:lang w:val="en-US"/>
        </w:rPr>
        <w:t>than</w:t>
      </w:r>
      <w:r w:rsidRPr="00BB6445">
        <w:rPr>
          <w:rFonts w:ascii="Times New Roman" w:hAnsi="Times New Roman" w:cs="Times New Roman"/>
          <w:sz w:val="30"/>
          <w:szCs w:val="30"/>
          <w:lang w:val="en-US"/>
        </w:rPr>
        <w:t xml:space="preserve"> the production.</w:t>
      </w:r>
    </w:p>
    <w:p w14:paraId="77AF0B34" w14:textId="070A0231" w:rsidR="00B2653A" w:rsidRPr="00E4175C" w:rsidRDefault="002C4762">
      <w:pPr>
        <w:rPr>
          <w:lang w:val="en-US"/>
        </w:rPr>
      </w:pPr>
      <w:r w:rsidRPr="00BB6445">
        <w:rPr>
          <w:rFonts w:ascii="Times New Roman" w:hAnsi="Times New Roman" w:cs="Times New Roman"/>
          <w:sz w:val="30"/>
          <w:szCs w:val="30"/>
          <w:lang w:val="en-US"/>
        </w:rPr>
        <w:t xml:space="preserve">On a company basis, </w:t>
      </w:r>
      <w:proofErr w:type="spellStart"/>
      <w:r w:rsidRPr="00BB6445">
        <w:rPr>
          <w:rFonts w:ascii="Times New Roman" w:hAnsi="Times New Roman" w:cs="Times New Roman"/>
          <w:sz w:val="30"/>
          <w:szCs w:val="30"/>
          <w:lang w:val="en-US"/>
        </w:rPr>
        <w:t>Belaruskali</w:t>
      </w:r>
      <w:proofErr w:type="spellEnd"/>
      <w:r w:rsidRPr="00BB6445">
        <w:rPr>
          <w:rFonts w:ascii="Times New Roman" w:hAnsi="Times New Roman" w:cs="Times New Roman"/>
          <w:sz w:val="30"/>
          <w:szCs w:val="30"/>
          <w:lang w:val="en-US"/>
        </w:rPr>
        <w:t xml:space="preserve"> is the largest producer.</w:t>
      </w:r>
      <w:r w:rsidR="00E4175C" w:rsidRPr="00BB6445">
        <w:rPr>
          <w:rFonts w:ascii="Times New Roman" w:hAnsi="Times New Roman" w:cs="Times New Roman"/>
          <w:sz w:val="30"/>
          <w:szCs w:val="30"/>
          <w:lang w:val="en-US"/>
        </w:rPr>
        <w:br/>
      </w:r>
      <w:r>
        <w:rPr>
          <w:noProof/>
          <w:lang w:val="ru-RU" w:eastAsia="ru-RU"/>
        </w:rPr>
        <w:drawing>
          <wp:inline distT="0" distB="0" distL="0" distR="0" wp14:anchorId="583C29F4" wp14:editId="6E7EB54F">
            <wp:extent cx="2722227" cy="1938594"/>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756139" cy="1962744"/>
                    </a:xfrm>
                    <a:prstGeom prst="rect">
                      <a:avLst/>
                    </a:prstGeom>
                    <a:noFill/>
                    <a:ln>
                      <a:noFill/>
                    </a:ln>
                  </pic:spPr>
                </pic:pic>
              </a:graphicData>
            </a:graphic>
          </wp:inline>
        </w:drawing>
      </w:r>
      <w:r w:rsidR="00B2653A" w:rsidRPr="00E4175C">
        <w:rPr>
          <w:lang w:val="en-US"/>
        </w:rPr>
        <w:br w:type="page"/>
      </w:r>
    </w:p>
    <w:p w14:paraId="5F8146D7" w14:textId="16CA65F4" w:rsidR="006F68FA" w:rsidRPr="00BB6445" w:rsidRDefault="006F68FA">
      <w:pPr>
        <w:rPr>
          <w:rFonts w:ascii="Times New Roman" w:hAnsi="Times New Roman" w:cs="Times New Roman"/>
          <w:sz w:val="30"/>
          <w:szCs w:val="30"/>
          <w:lang w:val="en-US"/>
        </w:rPr>
      </w:pPr>
      <w:r w:rsidRPr="00BB6445">
        <w:rPr>
          <w:rFonts w:ascii="Times New Roman" w:hAnsi="Times New Roman" w:cs="Times New Roman"/>
          <w:b/>
          <w:bCs/>
          <w:sz w:val="30"/>
          <w:szCs w:val="30"/>
          <w:lang w:val="en-US"/>
        </w:rPr>
        <w:lastRenderedPageBreak/>
        <w:t>NEW PROJECTS TAKE A LONG TIME AND SIGNIFICAT CAPEX TO CONCLUDE</w:t>
      </w:r>
    </w:p>
    <w:p w14:paraId="542CE299" w14:textId="140F9558" w:rsidR="006F68FA" w:rsidRPr="00BB6445" w:rsidRDefault="006F68FA">
      <w:pPr>
        <w:rPr>
          <w:rFonts w:ascii="Times New Roman" w:hAnsi="Times New Roman" w:cs="Times New Roman"/>
          <w:sz w:val="30"/>
          <w:szCs w:val="30"/>
          <w:lang w:val="en-US"/>
        </w:rPr>
      </w:pPr>
    </w:p>
    <w:p w14:paraId="34E1045F" w14:textId="10A24846" w:rsidR="006F68FA" w:rsidRPr="00BB6445" w:rsidRDefault="006F68FA">
      <w:pPr>
        <w:rPr>
          <w:rFonts w:ascii="Times New Roman" w:hAnsi="Times New Roman" w:cs="Times New Roman"/>
          <w:sz w:val="30"/>
          <w:szCs w:val="30"/>
          <w:lang w:val="en-US"/>
        </w:rPr>
      </w:pPr>
      <w:r w:rsidRPr="00BB6445">
        <w:rPr>
          <w:rFonts w:ascii="Times New Roman" w:hAnsi="Times New Roman" w:cs="Times New Roman"/>
          <w:sz w:val="30"/>
          <w:szCs w:val="30"/>
          <w:lang w:val="en-US"/>
        </w:rPr>
        <w:t>BHP JANSEN PROJECT, STILL 6 to 8 YEARS ON TOP OF THE SEVERAL YEARS INVESTED ALREADY</w:t>
      </w:r>
    </w:p>
    <w:p w14:paraId="7D8788D5" w14:textId="77777777" w:rsidR="006F68FA" w:rsidRDefault="006F68FA">
      <w:pPr>
        <w:rPr>
          <w:lang w:val="en-US"/>
        </w:rPr>
      </w:pPr>
      <w:r w:rsidRPr="006F68FA">
        <w:rPr>
          <w:noProof/>
          <w:lang w:val="ru-RU" w:eastAsia="ru-RU"/>
        </w:rPr>
        <w:drawing>
          <wp:inline distT="0" distB="0" distL="0" distR="0" wp14:anchorId="47F6A743" wp14:editId="4CAC9652">
            <wp:extent cx="5400040" cy="3068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68320"/>
                    </a:xfrm>
                    <a:prstGeom prst="rect">
                      <a:avLst/>
                    </a:prstGeom>
                  </pic:spPr>
                </pic:pic>
              </a:graphicData>
            </a:graphic>
          </wp:inline>
        </w:drawing>
      </w:r>
    </w:p>
    <w:p w14:paraId="3D112253" w14:textId="77777777" w:rsidR="006F68FA" w:rsidRDefault="006F68FA">
      <w:pPr>
        <w:rPr>
          <w:lang w:val="en-US"/>
        </w:rPr>
      </w:pPr>
    </w:p>
    <w:p w14:paraId="72A8C2E7" w14:textId="736D9F2E" w:rsidR="006F68FA" w:rsidRDefault="006F68FA">
      <w:pPr>
        <w:rPr>
          <w:lang w:val="en-US"/>
        </w:rPr>
      </w:pPr>
      <w:r w:rsidRPr="006F68FA">
        <w:rPr>
          <w:noProof/>
          <w:lang w:val="ru-RU" w:eastAsia="ru-RU"/>
        </w:rPr>
        <w:drawing>
          <wp:inline distT="0" distB="0" distL="0" distR="0" wp14:anchorId="4F80A61D" wp14:editId="1264AA16">
            <wp:extent cx="5400040" cy="30029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02915"/>
                    </a:xfrm>
                    <a:prstGeom prst="rect">
                      <a:avLst/>
                    </a:prstGeom>
                  </pic:spPr>
                </pic:pic>
              </a:graphicData>
            </a:graphic>
          </wp:inline>
        </w:drawing>
      </w:r>
      <w:r>
        <w:rPr>
          <w:lang w:val="en-US"/>
        </w:rPr>
        <w:br w:type="page"/>
      </w:r>
    </w:p>
    <w:p w14:paraId="53FE2EF2" w14:textId="77777777" w:rsidR="00E4175C" w:rsidRPr="00E4175C" w:rsidRDefault="00E4175C">
      <w:pPr>
        <w:rPr>
          <w:lang w:val="en-US"/>
        </w:rPr>
      </w:pPr>
    </w:p>
    <w:p w14:paraId="563EBE46" w14:textId="77777777" w:rsidR="000537AC" w:rsidRDefault="000537AC" w:rsidP="000537AC">
      <w:r>
        <w:rPr>
          <w:noProof/>
          <w:lang w:val="ru-RU" w:eastAsia="ru-RU"/>
        </w:rPr>
        <w:drawing>
          <wp:inline distT="0" distB="0" distL="0" distR="0" wp14:anchorId="40165B79" wp14:editId="34BFF4D8">
            <wp:extent cx="5599215" cy="3445671"/>
            <wp:effectExtent l="0" t="0" r="190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29" t="17893" r="20522" b="17174"/>
                    <a:stretch/>
                  </pic:blipFill>
                  <pic:spPr bwMode="auto">
                    <a:xfrm>
                      <a:off x="0" y="0"/>
                      <a:ext cx="5612846" cy="3454059"/>
                    </a:xfrm>
                    <a:prstGeom prst="rect">
                      <a:avLst/>
                    </a:prstGeom>
                    <a:ln>
                      <a:noFill/>
                    </a:ln>
                    <a:extLst>
                      <a:ext uri="{53640926-AAD7-44D8-BBD7-CCE9431645EC}">
                        <a14:shadowObscured xmlns:a14="http://schemas.microsoft.com/office/drawing/2010/main"/>
                      </a:ext>
                    </a:extLst>
                  </pic:spPr>
                </pic:pic>
              </a:graphicData>
            </a:graphic>
          </wp:inline>
        </w:drawing>
      </w:r>
    </w:p>
    <w:p w14:paraId="43DE4064" w14:textId="087EBB2A" w:rsidR="00B2653A" w:rsidRDefault="00B2653A"/>
    <w:p w14:paraId="3DCC3049" w14:textId="61FB958F" w:rsidR="00B2653A" w:rsidRDefault="000537AC">
      <w:r>
        <w:rPr>
          <w:noProof/>
          <w:lang w:val="ru-RU" w:eastAsia="ru-RU"/>
        </w:rPr>
        <w:drawing>
          <wp:inline distT="0" distB="0" distL="0" distR="0" wp14:anchorId="0BA56D36" wp14:editId="622F9548">
            <wp:extent cx="5721350" cy="33530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95" t="16315" r="17483" b="16456"/>
                    <a:stretch/>
                  </pic:blipFill>
                  <pic:spPr bwMode="auto">
                    <a:xfrm>
                      <a:off x="0" y="0"/>
                      <a:ext cx="5738358" cy="3362984"/>
                    </a:xfrm>
                    <a:prstGeom prst="rect">
                      <a:avLst/>
                    </a:prstGeom>
                    <a:ln>
                      <a:noFill/>
                    </a:ln>
                    <a:extLst>
                      <a:ext uri="{53640926-AAD7-44D8-BBD7-CCE9431645EC}">
                        <a14:shadowObscured xmlns:a14="http://schemas.microsoft.com/office/drawing/2010/main"/>
                      </a:ext>
                    </a:extLst>
                  </pic:spPr>
                </pic:pic>
              </a:graphicData>
            </a:graphic>
          </wp:inline>
        </w:drawing>
      </w:r>
      <w:r w:rsidR="00B2653A">
        <w:br w:type="page"/>
      </w:r>
    </w:p>
    <w:p w14:paraId="4522082E" w14:textId="63B5DB0A" w:rsidR="00B2653A" w:rsidRPr="00BB6445" w:rsidRDefault="00B2653A">
      <w:pPr>
        <w:rPr>
          <w:rFonts w:ascii="Times New Roman" w:hAnsi="Times New Roman" w:cs="Times New Roman"/>
          <w:b/>
          <w:bCs/>
          <w:sz w:val="30"/>
          <w:szCs w:val="30"/>
          <w:lang w:val="en-US"/>
        </w:rPr>
      </w:pPr>
      <w:r w:rsidRPr="00BB6445">
        <w:rPr>
          <w:rFonts w:ascii="Times New Roman" w:hAnsi="Times New Roman" w:cs="Times New Roman"/>
          <w:b/>
          <w:bCs/>
          <w:sz w:val="30"/>
          <w:szCs w:val="30"/>
          <w:lang w:val="en-US"/>
        </w:rPr>
        <w:lastRenderedPageBreak/>
        <w:t xml:space="preserve">POTASH PRICES INCREASING </w:t>
      </w:r>
      <w:r w:rsidR="00A05313" w:rsidRPr="00BB6445">
        <w:rPr>
          <w:rFonts w:ascii="Times New Roman" w:hAnsi="Times New Roman" w:cs="Times New Roman"/>
          <w:b/>
          <w:bCs/>
          <w:sz w:val="30"/>
          <w:szCs w:val="30"/>
          <w:lang w:val="en-US"/>
        </w:rPr>
        <w:t>SHARP</w:t>
      </w:r>
      <w:r w:rsidRPr="00BB6445">
        <w:rPr>
          <w:rFonts w:ascii="Times New Roman" w:hAnsi="Times New Roman" w:cs="Times New Roman"/>
          <w:b/>
          <w:bCs/>
          <w:sz w:val="30"/>
          <w:szCs w:val="30"/>
          <w:lang w:val="en-US"/>
        </w:rPr>
        <w:t xml:space="preserve">LY </w:t>
      </w:r>
    </w:p>
    <w:p w14:paraId="2C7189A3" w14:textId="3E1ADDB4" w:rsidR="00B2653A" w:rsidRPr="00BB6445" w:rsidRDefault="008C462F">
      <w:pPr>
        <w:rPr>
          <w:rFonts w:ascii="Times New Roman" w:hAnsi="Times New Roman" w:cs="Times New Roman"/>
          <w:sz w:val="30"/>
          <w:szCs w:val="30"/>
          <w:lang w:val="en-US"/>
        </w:rPr>
      </w:pPr>
      <w:r w:rsidRPr="00BB6445">
        <w:rPr>
          <w:rFonts w:ascii="Times New Roman" w:hAnsi="Times New Roman" w:cs="Times New Roman"/>
          <w:sz w:val="30"/>
          <w:szCs w:val="30"/>
          <w:lang w:val="en-US"/>
        </w:rPr>
        <w:t>Potash increasing relatively much higher vs other nutrients</w:t>
      </w:r>
    </w:p>
    <w:p w14:paraId="49441EC7" w14:textId="5D5808EF" w:rsidR="008C462F" w:rsidRPr="00BB6445" w:rsidRDefault="008C462F" w:rsidP="008C462F">
      <w:pPr>
        <w:rPr>
          <w:rFonts w:ascii="Times New Roman" w:hAnsi="Times New Roman" w:cs="Times New Roman"/>
          <w:sz w:val="30"/>
          <w:szCs w:val="30"/>
          <w:lang w:val="en-US"/>
        </w:rPr>
      </w:pPr>
      <w:r w:rsidRPr="00BB6445">
        <w:rPr>
          <w:rFonts w:ascii="Times New Roman" w:hAnsi="Times New Roman" w:cs="Times New Roman"/>
          <w:b/>
          <w:bCs/>
          <w:sz w:val="30"/>
          <w:szCs w:val="30"/>
          <w:lang w:val="en-US"/>
        </w:rPr>
        <w:t>US GOLF BARGE MARKET DEVELOPMENT 2021 – Prices development of the 3 key nutrients</w:t>
      </w:r>
    </w:p>
    <w:tbl>
      <w:tblPr>
        <w:tblW w:w="0" w:type="auto"/>
        <w:tblCellMar>
          <w:left w:w="0" w:type="dxa"/>
          <w:right w:w="0" w:type="dxa"/>
        </w:tblCellMar>
        <w:tblLook w:val="04A0" w:firstRow="1" w:lastRow="0" w:firstColumn="1" w:lastColumn="0" w:noHBand="0" w:noVBand="1"/>
      </w:tblPr>
      <w:tblGrid>
        <w:gridCol w:w="1349"/>
        <w:gridCol w:w="903"/>
        <w:gridCol w:w="903"/>
        <w:gridCol w:w="913"/>
        <w:gridCol w:w="902"/>
        <w:gridCol w:w="919"/>
        <w:gridCol w:w="902"/>
        <w:gridCol w:w="902"/>
        <w:gridCol w:w="906"/>
        <w:gridCol w:w="1104"/>
      </w:tblGrid>
      <w:tr w:rsidR="00E77835" w:rsidRPr="00BB6445" w14:paraId="400D353A" w14:textId="77777777" w:rsidTr="00854935">
        <w:tc>
          <w:tcPr>
            <w:tcW w:w="10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5DA3BD" w14:textId="77777777" w:rsidR="008C462F" w:rsidRPr="00BB6445" w:rsidRDefault="008C462F" w:rsidP="00854935">
            <w:pPr>
              <w:rPr>
                <w:rFonts w:ascii="Times New Roman" w:hAnsi="Times New Roman" w:cs="Times New Roman"/>
                <w:b/>
                <w:bCs/>
                <w:sz w:val="30"/>
                <w:szCs w:val="30"/>
              </w:rPr>
            </w:pPr>
            <w:r w:rsidRPr="00BB6445">
              <w:rPr>
                <w:rFonts w:ascii="Times New Roman" w:hAnsi="Times New Roman" w:cs="Times New Roman"/>
                <w:b/>
                <w:bCs/>
                <w:sz w:val="30"/>
                <w:szCs w:val="30"/>
              </w:rPr>
              <w:t>USD/st</w:t>
            </w:r>
          </w:p>
        </w:tc>
        <w:tc>
          <w:tcPr>
            <w:tcW w:w="9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5F75A3"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Jan</w:t>
            </w:r>
          </w:p>
        </w:tc>
        <w:tc>
          <w:tcPr>
            <w:tcW w:w="9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3097E0"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Feb</w:t>
            </w:r>
          </w:p>
        </w:tc>
        <w:tc>
          <w:tcPr>
            <w:tcW w:w="9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3F45EA"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Mar</w:t>
            </w:r>
          </w:p>
        </w:tc>
        <w:tc>
          <w:tcPr>
            <w:tcW w:w="9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69FE2C"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Apr</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48A180"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May</w:t>
            </w:r>
          </w:p>
        </w:tc>
        <w:tc>
          <w:tcPr>
            <w:tcW w:w="9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6851DE"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Jun</w:t>
            </w:r>
          </w:p>
        </w:tc>
        <w:tc>
          <w:tcPr>
            <w:tcW w:w="9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196520"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Jul</w:t>
            </w:r>
          </w:p>
        </w:tc>
        <w:tc>
          <w:tcPr>
            <w:tcW w:w="9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494E4C"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Aug</w:t>
            </w:r>
          </w:p>
        </w:tc>
        <w:tc>
          <w:tcPr>
            <w:tcW w:w="788" w:type="dxa"/>
            <w:tcBorders>
              <w:top w:val="single" w:sz="8" w:space="0" w:color="auto"/>
              <w:left w:val="nil"/>
              <w:bottom w:val="single" w:sz="8" w:space="0" w:color="auto"/>
              <w:right w:val="single" w:sz="8" w:space="0" w:color="auto"/>
            </w:tcBorders>
          </w:tcPr>
          <w:p w14:paraId="494D9300" w14:textId="7DECBE2E" w:rsidR="008C462F" w:rsidRPr="00BB6445" w:rsidRDefault="00E77835" w:rsidP="00854935">
            <w:pPr>
              <w:rPr>
                <w:rFonts w:ascii="Times New Roman" w:hAnsi="Times New Roman" w:cs="Times New Roman"/>
                <w:b/>
                <w:bCs/>
                <w:sz w:val="30"/>
                <w:szCs w:val="30"/>
              </w:rPr>
            </w:pPr>
            <w:r w:rsidRPr="00BB6445">
              <w:rPr>
                <w:rFonts w:ascii="Times New Roman" w:hAnsi="Times New Roman" w:cs="Times New Roman"/>
                <w:b/>
                <w:bCs/>
                <w:sz w:val="30"/>
                <w:szCs w:val="30"/>
              </w:rPr>
              <w:t>Jan/Aug</w:t>
            </w:r>
          </w:p>
        </w:tc>
      </w:tr>
      <w:tr w:rsidR="00E77835" w:rsidRPr="00BB6445" w14:paraId="36E4FE28" w14:textId="77777777" w:rsidTr="00854935">
        <w:tc>
          <w:tcPr>
            <w:tcW w:w="10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BFBDD2" w14:textId="77777777" w:rsidR="008C462F" w:rsidRPr="00BB6445" w:rsidRDefault="008C462F" w:rsidP="00854935">
            <w:pPr>
              <w:rPr>
                <w:rFonts w:ascii="Times New Roman" w:hAnsi="Times New Roman" w:cs="Times New Roman"/>
                <w:b/>
                <w:bCs/>
                <w:sz w:val="30"/>
                <w:szCs w:val="30"/>
              </w:rPr>
            </w:pPr>
            <w:r w:rsidRPr="00BB6445">
              <w:rPr>
                <w:rFonts w:ascii="Times New Roman" w:hAnsi="Times New Roman" w:cs="Times New Roman"/>
                <w:b/>
                <w:bCs/>
                <w:sz w:val="30"/>
                <w:szCs w:val="30"/>
              </w:rPr>
              <w:t>Urea(N)</w:t>
            </w:r>
          </w:p>
        </w:tc>
        <w:tc>
          <w:tcPr>
            <w:tcW w:w="903" w:type="dxa"/>
            <w:tcBorders>
              <w:top w:val="nil"/>
              <w:left w:val="nil"/>
              <w:bottom w:val="single" w:sz="8" w:space="0" w:color="auto"/>
              <w:right w:val="single" w:sz="8" w:space="0" w:color="auto"/>
            </w:tcBorders>
            <w:tcMar>
              <w:top w:w="0" w:type="dxa"/>
              <w:left w:w="108" w:type="dxa"/>
              <w:bottom w:w="0" w:type="dxa"/>
              <w:right w:w="108" w:type="dxa"/>
            </w:tcMar>
            <w:hideMark/>
          </w:tcPr>
          <w:p w14:paraId="37E213A1"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308</w:t>
            </w:r>
          </w:p>
        </w:tc>
        <w:tc>
          <w:tcPr>
            <w:tcW w:w="903" w:type="dxa"/>
            <w:tcBorders>
              <w:top w:val="nil"/>
              <w:left w:val="nil"/>
              <w:bottom w:val="single" w:sz="8" w:space="0" w:color="auto"/>
              <w:right w:val="single" w:sz="8" w:space="0" w:color="auto"/>
            </w:tcBorders>
            <w:tcMar>
              <w:top w:w="0" w:type="dxa"/>
              <w:left w:w="108" w:type="dxa"/>
              <w:bottom w:w="0" w:type="dxa"/>
              <w:right w:w="108" w:type="dxa"/>
            </w:tcMar>
            <w:hideMark/>
          </w:tcPr>
          <w:p w14:paraId="7717E85E"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342</w:t>
            </w:r>
          </w:p>
        </w:tc>
        <w:tc>
          <w:tcPr>
            <w:tcW w:w="913" w:type="dxa"/>
            <w:tcBorders>
              <w:top w:val="nil"/>
              <w:left w:val="nil"/>
              <w:bottom w:val="single" w:sz="8" w:space="0" w:color="auto"/>
              <w:right w:val="single" w:sz="8" w:space="0" w:color="auto"/>
            </w:tcBorders>
            <w:tcMar>
              <w:top w:w="0" w:type="dxa"/>
              <w:left w:w="108" w:type="dxa"/>
              <w:bottom w:w="0" w:type="dxa"/>
              <w:right w:w="108" w:type="dxa"/>
            </w:tcMar>
            <w:hideMark/>
          </w:tcPr>
          <w:p w14:paraId="6B3A5907"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379</w:t>
            </w:r>
          </w:p>
        </w:tc>
        <w:tc>
          <w:tcPr>
            <w:tcW w:w="902" w:type="dxa"/>
            <w:tcBorders>
              <w:top w:val="nil"/>
              <w:left w:val="nil"/>
              <w:bottom w:val="single" w:sz="8" w:space="0" w:color="auto"/>
              <w:right w:val="single" w:sz="8" w:space="0" w:color="auto"/>
            </w:tcBorders>
            <w:tcMar>
              <w:top w:w="0" w:type="dxa"/>
              <w:left w:w="108" w:type="dxa"/>
              <w:bottom w:w="0" w:type="dxa"/>
              <w:right w:w="108" w:type="dxa"/>
            </w:tcMar>
            <w:hideMark/>
          </w:tcPr>
          <w:p w14:paraId="38765D8D"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374</w:t>
            </w:r>
          </w:p>
        </w:tc>
        <w:tc>
          <w:tcPr>
            <w:tcW w:w="919" w:type="dxa"/>
            <w:tcBorders>
              <w:top w:val="nil"/>
              <w:left w:val="nil"/>
              <w:bottom w:val="single" w:sz="8" w:space="0" w:color="auto"/>
              <w:right w:val="single" w:sz="8" w:space="0" w:color="auto"/>
            </w:tcBorders>
            <w:tcMar>
              <w:top w:w="0" w:type="dxa"/>
              <w:left w:w="108" w:type="dxa"/>
              <w:bottom w:w="0" w:type="dxa"/>
              <w:right w:w="108" w:type="dxa"/>
            </w:tcMar>
            <w:hideMark/>
          </w:tcPr>
          <w:p w14:paraId="2FEFB561"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374</w:t>
            </w:r>
          </w:p>
        </w:tc>
        <w:tc>
          <w:tcPr>
            <w:tcW w:w="902" w:type="dxa"/>
            <w:tcBorders>
              <w:top w:val="nil"/>
              <w:left w:val="nil"/>
              <w:bottom w:val="single" w:sz="8" w:space="0" w:color="auto"/>
              <w:right w:val="single" w:sz="8" w:space="0" w:color="auto"/>
            </w:tcBorders>
            <w:tcMar>
              <w:top w:w="0" w:type="dxa"/>
              <w:left w:w="108" w:type="dxa"/>
              <w:bottom w:w="0" w:type="dxa"/>
              <w:right w:w="108" w:type="dxa"/>
            </w:tcMar>
            <w:hideMark/>
          </w:tcPr>
          <w:p w14:paraId="1A0E04D6"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431</w:t>
            </w:r>
          </w:p>
        </w:tc>
        <w:tc>
          <w:tcPr>
            <w:tcW w:w="902" w:type="dxa"/>
            <w:tcBorders>
              <w:top w:val="nil"/>
              <w:left w:val="nil"/>
              <w:bottom w:val="single" w:sz="8" w:space="0" w:color="auto"/>
              <w:right w:val="single" w:sz="8" w:space="0" w:color="auto"/>
            </w:tcBorders>
            <w:tcMar>
              <w:top w:w="0" w:type="dxa"/>
              <w:left w:w="108" w:type="dxa"/>
              <w:bottom w:w="0" w:type="dxa"/>
              <w:right w:w="108" w:type="dxa"/>
            </w:tcMar>
            <w:hideMark/>
          </w:tcPr>
          <w:p w14:paraId="26DC3ADE"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430</w:t>
            </w:r>
          </w:p>
        </w:tc>
        <w:tc>
          <w:tcPr>
            <w:tcW w:w="906" w:type="dxa"/>
            <w:tcBorders>
              <w:top w:val="nil"/>
              <w:left w:val="nil"/>
              <w:bottom w:val="single" w:sz="8" w:space="0" w:color="auto"/>
              <w:right w:val="single" w:sz="8" w:space="0" w:color="auto"/>
            </w:tcBorders>
            <w:tcMar>
              <w:top w:w="0" w:type="dxa"/>
              <w:left w:w="108" w:type="dxa"/>
              <w:bottom w:w="0" w:type="dxa"/>
              <w:right w:w="108" w:type="dxa"/>
            </w:tcMar>
            <w:hideMark/>
          </w:tcPr>
          <w:p w14:paraId="69CB282B"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410</w:t>
            </w:r>
          </w:p>
        </w:tc>
        <w:tc>
          <w:tcPr>
            <w:tcW w:w="788" w:type="dxa"/>
            <w:tcBorders>
              <w:top w:val="nil"/>
              <w:left w:val="nil"/>
              <w:bottom w:val="single" w:sz="8" w:space="0" w:color="auto"/>
              <w:right w:val="single" w:sz="8" w:space="0" w:color="auto"/>
            </w:tcBorders>
          </w:tcPr>
          <w:p w14:paraId="31D0EB70" w14:textId="77777777" w:rsidR="008C462F" w:rsidRPr="00BB6445" w:rsidRDefault="008C462F" w:rsidP="00854935">
            <w:pPr>
              <w:rPr>
                <w:rFonts w:ascii="Times New Roman" w:hAnsi="Times New Roman" w:cs="Times New Roman"/>
                <w:b/>
                <w:bCs/>
                <w:sz w:val="30"/>
                <w:szCs w:val="30"/>
                <w:highlight w:val="yellow"/>
              </w:rPr>
            </w:pPr>
            <w:r w:rsidRPr="00BB6445">
              <w:rPr>
                <w:rFonts w:ascii="Times New Roman" w:hAnsi="Times New Roman" w:cs="Times New Roman"/>
                <w:b/>
                <w:bCs/>
                <w:sz w:val="30"/>
                <w:szCs w:val="30"/>
                <w:highlight w:val="yellow"/>
              </w:rPr>
              <w:t xml:space="preserve">    33%</w:t>
            </w:r>
          </w:p>
        </w:tc>
      </w:tr>
      <w:tr w:rsidR="00E77835" w:rsidRPr="00BB6445" w14:paraId="24841596" w14:textId="77777777" w:rsidTr="00854935">
        <w:tc>
          <w:tcPr>
            <w:tcW w:w="10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F70F8A" w14:textId="77777777" w:rsidR="008C462F" w:rsidRPr="00BB6445" w:rsidRDefault="008C462F" w:rsidP="00854935">
            <w:pPr>
              <w:rPr>
                <w:rFonts w:ascii="Times New Roman" w:hAnsi="Times New Roman" w:cs="Times New Roman"/>
                <w:b/>
                <w:bCs/>
                <w:sz w:val="30"/>
                <w:szCs w:val="30"/>
              </w:rPr>
            </w:pPr>
            <w:r w:rsidRPr="00BB6445">
              <w:rPr>
                <w:rFonts w:ascii="Times New Roman" w:hAnsi="Times New Roman" w:cs="Times New Roman"/>
                <w:b/>
                <w:bCs/>
                <w:sz w:val="30"/>
                <w:szCs w:val="30"/>
              </w:rPr>
              <w:t>DAP (P)</w:t>
            </w:r>
          </w:p>
        </w:tc>
        <w:tc>
          <w:tcPr>
            <w:tcW w:w="903" w:type="dxa"/>
            <w:tcBorders>
              <w:top w:val="nil"/>
              <w:left w:val="nil"/>
              <w:bottom w:val="single" w:sz="8" w:space="0" w:color="auto"/>
              <w:right w:val="single" w:sz="8" w:space="0" w:color="auto"/>
            </w:tcBorders>
            <w:tcMar>
              <w:top w:w="0" w:type="dxa"/>
              <w:left w:w="108" w:type="dxa"/>
              <w:bottom w:w="0" w:type="dxa"/>
              <w:right w:w="108" w:type="dxa"/>
            </w:tcMar>
            <w:hideMark/>
          </w:tcPr>
          <w:p w14:paraId="661BCDCA"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429</w:t>
            </w:r>
          </w:p>
        </w:tc>
        <w:tc>
          <w:tcPr>
            <w:tcW w:w="903" w:type="dxa"/>
            <w:tcBorders>
              <w:top w:val="nil"/>
              <w:left w:val="nil"/>
              <w:bottom w:val="single" w:sz="8" w:space="0" w:color="auto"/>
              <w:right w:val="single" w:sz="8" w:space="0" w:color="auto"/>
            </w:tcBorders>
            <w:tcMar>
              <w:top w:w="0" w:type="dxa"/>
              <w:left w:w="108" w:type="dxa"/>
              <w:bottom w:w="0" w:type="dxa"/>
              <w:right w:w="108" w:type="dxa"/>
            </w:tcMar>
            <w:hideMark/>
          </w:tcPr>
          <w:p w14:paraId="53B2A21D"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529</w:t>
            </w:r>
          </w:p>
        </w:tc>
        <w:tc>
          <w:tcPr>
            <w:tcW w:w="913" w:type="dxa"/>
            <w:tcBorders>
              <w:top w:val="nil"/>
              <w:left w:val="nil"/>
              <w:bottom w:val="single" w:sz="8" w:space="0" w:color="auto"/>
              <w:right w:val="single" w:sz="8" w:space="0" w:color="auto"/>
            </w:tcBorders>
            <w:tcMar>
              <w:top w:w="0" w:type="dxa"/>
              <w:left w:w="108" w:type="dxa"/>
              <w:bottom w:w="0" w:type="dxa"/>
              <w:right w:w="108" w:type="dxa"/>
            </w:tcMar>
            <w:hideMark/>
          </w:tcPr>
          <w:p w14:paraId="07020350"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535</w:t>
            </w:r>
          </w:p>
        </w:tc>
        <w:tc>
          <w:tcPr>
            <w:tcW w:w="902" w:type="dxa"/>
            <w:tcBorders>
              <w:top w:val="nil"/>
              <w:left w:val="nil"/>
              <w:bottom w:val="single" w:sz="8" w:space="0" w:color="auto"/>
              <w:right w:val="single" w:sz="8" w:space="0" w:color="auto"/>
            </w:tcBorders>
            <w:tcMar>
              <w:top w:w="0" w:type="dxa"/>
              <w:left w:w="108" w:type="dxa"/>
              <w:bottom w:w="0" w:type="dxa"/>
              <w:right w:w="108" w:type="dxa"/>
            </w:tcMar>
            <w:hideMark/>
          </w:tcPr>
          <w:p w14:paraId="7345C031"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540</w:t>
            </w:r>
          </w:p>
        </w:tc>
        <w:tc>
          <w:tcPr>
            <w:tcW w:w="919" w:type="dxa"/>
            <w:tcBorders>
              <w:top w:val="nil"/>
              <w:left w:val="nil"/>
              <w:bottom w:val="single" w:sz="8" w:space="0" w:color="auto"/>
              <w:right w:val="single" w:sz="8" w:space="0" w:color="auto"/>
            </w:tcBorders>
            <w:tcMar>
              <w:top w:w="0" w:type="dxa"/>
              <w:left w:w="108" w:type="dxa"/>
              <w:bottom w:w="0" w:type="dxa"/>
              <w:right w:w="108" w:type="dxa"/>
            </w:tcMar>
            <w:hideMark/>
          </w:tcPr>
          <w:p w14:paraId="55EB177A"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574</w:t>
            </w:r>
          </w:p>
        </w:tc>
        <w:tc>
          <w:tcPr>
            <w:tcW w:w="902" w:type="dxa"/>
            <w:tcBorders>
              <w:top w:val="nil"/>
              <w:left w:val="nil"/>
              <w:bottom w:val="single" w:sz="8" w:space="0" w:color="auto"/>
              <w:right w:val="single" w:sz="8" w:space="0" w:color="auto"/>
            </w:tcBorders>
            <w:tcMar>
              <w:top w:w="0" w:type="dxa"/>
              <w:left w:w="108" w:type="dxa"/>
              <w:bottom w:w="0" w:type="dxa"/>
              <w:right w:w="108" w:type="dxa"/>
            </w:tcMar>
            <w:hideMark/>
          </w:tcPr>
          <w:p w14:paraId="36F090F1"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605</w:t>
            </w:r>
          </w:p>
        </w:tc>
        <w:tc>
          <w:tcPr>
            <w:tcW w:w="902" w:type="dxa"/>
            <w:tcBorders>
              <w:top w:val="nil"/>
              <w:left w:val="nil"/>
              <w:bottom w:val="single" w:sz="8" w:space="0" w:color="auto"/>
              <w:right w:val="single" w:sz="8" w:space="0" w:color="auto"/>
            </w:tcBorders>
            <w:tcMar>
              <w:top w:w="0" w:type="dxa"/>
              <w:left w:w="108" w:type="dxa"/>
              <w:bottom w:w="0" w:type="dxa"/>
              <w:right w:w="108" w:type="dxa"/>
            </w:tcMar>
            <w:hideMark/>
          </w:tcPr>
          <w:p w14:paraId="45F53D6D"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610</w:t>
            </w:r>
          </w:p>
        </w:tc>
        <w:tc>
          <w:tcPr>
            <w:tcW w:w="906" w:type="dxa"/>
            <w:tcBorders>
              <w:top w:val="nil"/>
              <w:left w:val="nil"/>
              <w:bottom w:val="single" w:sz="8" w:space="0" w:color="auto"/>
              <w:right w:val="single" w:sz="8" w:space="0" w:color="auto"/>
            </w:tcBorders>
            <w:tcMar>
              <w:top w:w="0" w:type="dxa"/>
              <w:left w:w="108" w:type="dxa"/>
              <w:bottom w:w="0" w:type="dxa"/>
              <w:right w:w="108" w:type="dxa"/>
            </w:tcMar>
            <w:hideMark/>
          </w:tcPr>
          <w:p w14:paraId="6C424A33"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608</w:t>
            </w:r>
          </w:p>
        </w:tc>
        <w:tc>
          <w:tcPr>
            <w:tcW w:w="788" w:type="dxa"/>
            <w:tcBorders>
              <w:top w:val="nil"/>
              <w:left w:val="nil"/>
              <w:bottom w:val="single" w:sz="8" w:space="0" w:color="auto"/>
              <w:right w:val="single" w:sz="8" w:space="0" w:color="auto"/>
            </w:tcBorders>
          </w:tcPr>
          <w:p w14:paraId="46256AEE" w14:textId="77777777" w:rsidR="008C462F" w:rsidRPr="00BB6445" w:rsidRDefault="008C462F" w:rsidP="00854935">
            <w:pPr>
              <w:rPr>
                <w:rFonts w:ascii="Times New Roman" w:hAnsi="Times New Roman" w:cs="Times New Roman"/>
                <w:b/>
                <w:bCs/>
                <w:sz w:val="30"/>
                <w:szCs w:val="30"/>
                <w:highlight w:val="yellow"/>
              </w:rPr>
            </w:pPr>
            <w:r w:rsidRPr="00BB6445">
              <w:rPr>
                <w:rFonts w:ascii="Times New Roman" w:hAnsi="Times New Roman" w:cs="Times New Roman"/>
                <w:b/>
                <w:bCs/>
                <w:sz w:val="30"/>
                <w:szCs w:val="30"/>
                <w:highlight w:val="yellow"/>
              </w:rPr>
              <w:t xml:space="preserve">    42%</w:t>
            </w:r>
          </w:p>
        </w:tc>
      </w:tr>
      <w:tr w:rsidR="00E77835" w:rsidRPr="00BB6445" w14:paraId="437F98E8" w14:textId="77777777" w:rsidTr="00854935">
        <w:tc>
          <w:tcPr>
            <w:tcW w:w="10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CEF42" w14:textId="77777777" w:rsidR="008C462F" w:rsidRPr="00BB6445" w:rsidRDefault="008C462F" w:rsidP="00854935">
            <w:pPr>
              <w:rPr>
                <w:rFonts w:ascii="Times New Roman" w:hAnsi="Times New Roman" w:cs="Times New Roman"/>
                <w:b/>
                <w:bCs/>
                <w:sz w:val="30"/>
                <w:szCs w:val="30"/>
              </w:rPr>
            </w:pPr>
            <w:r w:rsidRPr="00BB6445">
              <w:rPr>
                <w:rFonts w:ascii="Times New Roman" w:hAnsi="Times New Roman" w:cs="Times New Roman"/>
                <w:b/>
                <w:bCs/>
                <w:sz w:val="30"/>
                <w:szCs w:val="30"/>
              </w:rPr>
              <w:t>MOP(K)</w:t>
            </w:r>
          </w:p>
        </w:tc>
        <w:tc>
          <w:tcPr>
            <w:tcW w:w="903" w:type="dxa"/>
            <w:tcBorders>
              <w:top w:val="nil"/>
              <w:left w:val="nil"/>
              <w:bottom w:val="single" w:sz="8" w:space="0" w:color="auto"/>
              <w:right w:val="single" w:sz="8" w:space="0" w:color="auto"/>
            </w:tcBorders>
            <w:tcMar>
              <w:top w:w="0" w:type="dxa"/>
              <w:left w:w="108" w:type="dxa"/>
              <w:bottom w:w="0" w:type="dxa"/>
              <w:right w:w="108" w:type="dxa"/>
            </w:tcMar>
            <w:hideMark/>
          </w:tcPr>
          <w:p w14:paraId="0EB3BA08"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257</w:t>
            </w:r>
          </w:p>
        </w:tc>
        <w:tc>
          <w:tcPr>
            <w:tcW w:w="903" w:type="dxa"/>
            <w:tcBorders>
              <w:top w:val="nil"/>
              <w:left w:val="nil"/>
              <w:bottom w:val="single" w:sz="8" w:space="0" w:color="auto"/>
              <w:right w:val="single" w:sz="8" w:space="0" w:color="auto"/>
            </w:tcBorders>
            <w:tcMar>
              <w:top w:w="0" w:type="dxa"/>
              <w:left w:w="108" w:type="dxa"/>
              <w:bottom w:w="0" w:type="dxa"/>
              <w:right w:w="108" w:type="dxa"/>
            </w:tcMar>
            <w:hideMark/>
          </w:tcPr>
          <w:p w14:paraId="1FF46C8C"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300</w:t>
            </w:r>
          </w:p>
        </w:tc>
        <w:tc>
          <w:tcPr>
            <w:tcW w:w="913" w:type="dxa"/>
            <w:tcBorders>
              <w:top w:val="nil"/>
              <w:left w:val="nil"/>
              <w:bottom w:val="single" w:sz="8" w:space="0" w:color="auto"/>
              <w:right w:val="single" w:sz="8" w:space="0" w:color="auto"/>
            </w:tcBorders>
            <w:tcMar>
              <w:top w:w="0" w:type="dxa"/>
              <w:left w:w="108" w:type="dxa"/>
              <w:bottom w:w="0" w:type="dxa"/>
              <w:right w:w="108" w:type="dxa"/>
            </w:tcMar>
            <w:hideMark/>
          </w:tcPr>
          <w:p w14:paraId="7EF4EDB4"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320</w:t>
            </w:r>
          </w:p>
        </w:tc>
        <w:tc>
          <w:tcPr>
            <w:tcW w:w="902" w:type="dxa"/>
            <w:tcBorders>
              <w:top w:val="nil"/>
              <w:left w:val="nil"/>
              <w:bottom w:val="single" w:sz="8" w:space="0" w:color="auto"/>
              <w:right w:val="single" w:sz="8" w:space="0" w:color="auto"/>
            </w:tcBorders>
            <w:tcMar>
              <w:top w:w="0" w:type="dxa"/>
              <w:left w:w="108" w:type="dxa"/>
              <w:bottom w:w="0" w:type="dxa"/>
              <w:right w:w="108" w:type="dxa"/>
            </w:tcMar>
            <w:hideMark/>
          </w:tcPr>
          <w:p w14:paraId="15501119"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314</w:t>
            </w:r>
          </w:p>
        </w:tc>
        <w:tc>
          <w:tcPr>
            <w:tcW w:w="919" w:type="dxa"/>
            <w:tcBorders>
              <w:top w:val="nil"/>
              <w:left w:val="nil"/>
              <w:bottom w:val="single" w:sz="8" w:space="0" w:color="auto"/>
              <w:right w:val="single" w:sz="8" w:space="0" w:color="auto"/>
            </w:tcBorders>
            <w:tcMar>
              <w:top w:w="0" w:type="dxa"/>
              <w:left w:w="108" w:type="dxa"/>
              <w:bottom w:w="0" w:type="dxa"/>
              <w:right w:w="108" w:type="dxa"/>
            </w:tcMar>
            <w:hideMark/>
          </w:tcPr>
          <w:p w14:paraId="3BACA58D"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336</w:t>
            </w:r>
          </w:p>
        </w:tc>
        <w:tc>
          <w:tcPr>
            <w:tcW w:w="902" w:type="dxa"/>
            <w:tcBorders>
              <w:top w:val="nil"/>
              <w:left w:val="nil"/>
              <w:bottom w:val="single" w:sz="8" w:space="0" w:color="auto"/>
              <w:right w:val="single" w:sz="8" w:space="0" w:color="auto"/>
            </w:tcBorders>
            <w:tcMar>
              <w:top w:w="0" w:type="dxa"/>
              <w:left w:w="108" w:type="dxa"/>
              <w:bottom w:w="0" w:type="dxa"/>
              <w:right w:w="108" w:type="dxa"/>
            </w:tcMar>
            <w:hideMark/>
          </w:tcPr>
          <w:p w14:paraId="6957F846"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422</w:t>
            </w:r>
          </w:p>
        </w:tc>
        <w:tc>
          <w:tcPr>
            <w:tcW w:w="902" w:type="dxa"/>
            <w:tcBorders>
              <w:top w:val="nil"/>
              <w:left w:val="nil"/>
              <w:bottom w:val="single" w:sz="8" w:space="0" w:color="auto"/>
              <w:right w:val="single" w:sz="8" w:space="0" w:color="auto"/>
            </w:tcBorders>
            <w:tcMar>
              <w:top w:w="0" w:type="dxa"/>
              <w:left w:w="108" w:type="dxa"/>
              <w:bottom w:w="0" w:type="dxa"/>
              <w:right w:w="108" w:type="dxa"/>
            </w:tcMar>
            <w:hideMark/>
          </w:tcPr>
          <w:p w14:paraId="6EDC7E67"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526</w:t>
            </w:r>
          </w:p>
        </w:tc>
        <w:tc>
          <w:tcPr>
            <w:tcW w:w="906" w:type="dxa"/>
            <w:tcBorders>
              <w:top w:val="nil"/>
              <w:left w:val="nil"/>
              <w:bottom w:val="single" w:sz="8" w:space="0" w:color="auto"/>
              <w:right w:val="single" w:sz="8" w:space="0" w:color="auto"/>
            </w:tcBorders>
            <w:tcMar>
              <w:top w:w="0" w:type="dxa"/>
              <w:left w:w="108" w:type="dxa"/>
              <w:bottom w:w="0" w:type="dxa"/>
              <w:right w:w="108" w:type="dxa"/>
            </w:tcMar>
            <w:hideMark/>
          </w:tcPr>
          <w:p w14:paraId="1BEA219E" w14:textId="77777777" w:rsidR="008C462F" w:rsidRPr="00BB6445" w:rsidRDefault="008C462F" w:rsidP="00854935">
            <w:pPr>
              <w:rPr>
                <w:rFonts w:ascii="Times New Roman" w:hAnsi="Times New Roman" w:cs="Times New Roman"/>
                <w:sz w:val="30"/>
                <w:szCs w:val="30"/>
              </w:rPr>
            </w:pPr>
            <w:r w:rsidRPr="00BB6445">
              <w:rPr>
                <w:rFonts w:ascii="Times New Roman" w:hAnsi="Times New Roman" w:cs="Times New Roman"/>
                <w:sz w:val="30"/>
                <w:szCs w:val="30"/>
              </w:rPr>
              <w:t>548</w:t>
            </w:r>
          </w:p>
        </w:tc>
        <w:tc>
          <w:tcPr>
            <w:tcW w:w="788" w:type="dxa"/>
            <w:tcBorders>
              <w:top w:val="nil"/>
              <w:left w:val="nil"/>
              <w:bottom w:val="single" w:sz="8" w:space="0" w:color="auto"/>
              <w:right w:val="single" w:sz="8" w:space="0" w:color="auto"/>
            </w:tcBorders>
          </w:tcPr>
          <w:p w14:paraId="001868F8" w14:textId="6B91D09F" w:rsidR="008C462F" w:rsidRPr="00BB6445" w:rsidRDefault="008C462F" w:rsidP="00854935">
            <w:pPr>
              <w:rPr>
                <w:rFonts w:ascii="Times New Roman" w:hAnsi="Times New Roman" w:cs="Times New Roman"/>
                <w:b/>
                <w:bCs/>
                <w:sz w:val="30"/>
                <w:szCs w:val="30"/>
              </w:rPr>
            </w:pPr>
            <w:r w:rsidRPr="00BB6445">
              <w:rPr>
                <w:rFonts w:ascii="Times New Roman" w:hAnsi="Times New Roman" w:cs="Times New Roman"/>
                <w:b/>
                <w:bCs/>
                <w:sz w:val="30"/>
                <w:szCs w:val="30"/>
              </w:rPr>
              <w:t xml:space="preserve">   </w:t>
            </w:r>
            <w:r w:rsidRPr="00BB6445">
              <w:rPr>
                <w:rFonts w:ascii="Times New Roman" w:hAnsi="Times New Roman" w:cs="Times New Roman"/>
                <w:b/>
                <w:bCs/>
                <w:sz w:val="30"/>
                <w:szCs w:val="30"/>
                <w:highlight w:val="red"/>
              </w:rPr>
              <w:t>113%</w:t>
            </w:r>
          </w:p>
        </w:tc>
      </w:tr>
    </w:tbl>
    <w:p w14:paraId="4DF4ACE1" w14:textId="77777777" w:rsidR="00BB6445" w:rsidRDefault="00BB6445" w:rsidP="00E77835">
      <w:pPr>
        <w:rPr>
          <w:rFonts w:ascii="Times New Roman" w:hAnsi="Times New Roman" w:cs="Times New Roman"/>
          <w:sz w:val="30"/>
          <w:szCs w:val="30"/>
          <w:lang w:val="en-US"/>
        </w:rPr>
      </w:pPr>
    </w:p>
    <w:p w14:paraId="79A76A47" w14:textId="27CF1210" w:rsidR="00E77835" w:rsidRPr="00BB6445" w:rsidRDefault="00E77835" w:rsidP="00E77835">
      <w:pPr>
        <w:rPr>
          <w:rFonts w:ascii="Times New Roman" w:hAnsi="Times New Roman" w:cs="Times New Roman"/>
          <w:sz w:val="30"/>
          <w:szCs w:val="30"/>
          <w:lang w:val="en-US"/>
        </w:rPr>
      </w:pPr>
      <w:r w:rsidRPr="00BB6445">
        <w:rPr>
          <w:rFonts w:ascii="Times New Roman" w:hAnsi="Times New Roman" w:cs="Times New Roman"/>
          <w:sz w:val="30"/>
          <w:szCs w:val="30"/>
          <w:lang w:val="en-US"/>
        </w:rPr>
        <w:t>And some key markets in the world with increases over 170%</w:t>
      </w:r>
    </w:p>
    <w:p w14:paraId="18B3EAD1" w14:textId="77777777" w:rsidR="008C462F" w:rsidRPr="00E77835" w:rsidRDefault="008C462F">
      <w:pPr>
        <w:rPr>
          <w:lang w:val="en-US"/>
        </w:rPr>
      </w:pPr>
    </w:p>
    <w:p w14:paraId="6B70A928" w14:textId="0BF7FB31" w:rsidR="00B2653A" w:rsidRDefault="00B2653A">
      <w:r w:rsidRPr="00B2653A">
        <w:rPr>
          <w:noProof/>
          <w:lang w:val="ru-RU" w:eastAsia="ru-RU"/>
        </w:rPr>
        <w:drawing>
          <wp:inline distT="0" distB="0" distL="0" distR="0" wp14:anchorId="14AF21C3" wp14:editId="54167C57">
            <wp:extent cx="5400040" cy="2846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846705"/>
                    </a:xfrm>
                    <a:prstGeom prst="rect">
                      <a:avLst/>
                    </a:prstGeom>
                  </pic:spPr>
                </pic:pic>
              </a:graphicData>
            </a:graphic>
          </wp:inline>
        </w:drawing>
      </w:r>
    </w:p>
    <w:p w14:paraId="436C387A" w14:textId="65369145" w:rsidR="008263F5" w:rsidRPr="00BB6445" w:rsidRDefault="008263F5">
      <w:pPr>
        <w:rPr>
          <w:rFonts w:ascii="Times New Roman" w:hAnsi="Times New Roman" w:cs="Times New Roman"/>
          <w:lang w:val="en-US"/>
        </w:rPr>
      </w:pPr>
      <w:r w:rsidRPr="00BB6445">
        <w:rPr>
          <w:rFonts w:ascii="Times New Roman" w:hAnsi="Times New Roman" w:cs="Times New Roman"/>
        </w:rPr>
        <w:tab/>
      </w:r>
      <w:r w:rsidRPr="00BB6445">
        <w:rPr>
          <w:rFonts w:ascii="Times New Roman" w:hAnsi="Times New Roman" w:cs="Times New Roman"/>
        </w:rPr>
        <w:tab/>
      </w:r>
      <w:r w:rsidRPr="00BB6445">
        <w:rPr>
          <w:rFonts w:ascii="Times New Roman" w:hAnsi="Times New Roman" w:cs="Times New Roman"/>
        </w:rPr>
        <w:tab/>
      </w:r>
      <w:r w:rsidR="00BB6445">
        <w:rPr>
          <w:rFonts w:ascii="Times New Roman" w:hAnsi="Times New Roman" w:cs="Times New Roman"/>
        </w:rPr>
        <w:tab/>
      </w:r>
      <w:r w:rsidR="00BB6445">
        <w:rPr>
          <w:rFonts w:ascii="Times New Roman" w:hAnsi="Times New Roman" w:cs="Times New Roman"/>
        </w:rPr>
        <w:tab/>
      </w:r>
      <w:r w:rsidR="00BB6445">
        <w:rPr>
          <w:rFonts w:ascii="Times New Roman" w:hAnsi="Times New Roman" w:cs="Times New Roman"/>
        </w:rPr>
        <w:tab/>
      </w:r>
      <w:r w:rsidRPr="00BB6445">
        <w:rPr>
          <w:rFonts w:ascii="Times New Roman" w:hAnsi="Times New Roman" w:cs="Times New Roman"/>
        </w:rPr>
        <w:tab/>
      </w:r>
      <w:r w:rsidRPr="00BB6445">
        <w:rPr>
          <w:rFonts w:ascii="Times New Roman" w:hAnsi="Times New Roman" w:cs="Times New Roman"/>
        </w:rPr>
        <w:tab/>
      </w:r>
      <w:r w:rsidR="00CA0E96" w:rsidRPr="00BB6445">
        <w:rPr>
          <w:rFonts w:ascii="Times New Roman" w:hAnsi="Times New Roman" w:cs="Times New Roman"/>
          <w:lang w:val="en-US"/>
        </w:rPr>
        <w:t>M</w:t>
      </w:r>
      <w:r w:rsidRPr="00BB6445">
        <w:rPr>
          <w:rFonts w:ascii="Times New Roman" w:hAnsi="Times New Roman" w:cs="Times New Roman"/>
          <w:lang w:val="en-US"/>
        </w:rPr>
        <w:t xml:space="preserve">arket intel and </w:t>
      </w:r>
      <w:r w:rsidR="00CA0E96" w:rsidRPr="00BB6445">
        <w:rPr>
          <w:rFonts w:ascii="Times New Roman" w:hAnsi="Times New Roman" w:cs="Times New Roman"/>
          <w:lang w:val="en-US"/>
        </w:rPr>
        <w:t>publications</w:t>
      </w:r>
    </w:p>
    <w:p w14:paraId="3B327CC1" w14:textId="1AE8BCFA" w:rsidR="00CE3FD1" w:rsidRPr="00BB6445" w:rsidRDefault="00CE3FD1">
      <w:pPr>
        <w:rPr>
          <w:rFonts w:ascii="Times New Roman" w:hAnsi="Times New Roman" w:cs="Times New Roman"/>
          <w:sz w:val="30"/>
          <w:szCs w:val="30"/>
          <w:lang w:val="en-US"/>
        </w:rPr>
      </w:pPr>
    </w:p>
    <w:p w14:paraId="275ABFFC" w14:textId="58C84397" w:rsidR="00CE3FD1" w:rsidRDefault="00A05313" w:rsidP="00BB6445">
      <w:pPr>
        <w:jc w:val="both"/>
        <w:rPr>
          <w:lang w:val="en-US"/>
        </w:rPr>
      </w:pPr>
      <w:r w:rsidRPr="00BB6445">
        <w:rPr>
          <w:rFonts w:ascii="Times New Roman" w:hAnsi="Times New Roman" w:cs="Times New Roman"/>
          <w:sz w:val="30"/>
          <w:szCs w:val="30"/>
          <w:lang w:val="en-US"/>
        </w:rPr>
        <w:t xml:space="preserve">To be noted that Potash is a “perfect” global commodity, and that price increases affect all markets in the world, independent of having or not local production. </w:t>
      </w:r>
    </w:p>
    <w:p w14:paraId="25AE9492" w14:textId="012CADCD" w:rsidR="00CE3FD1" w:rsidRPr="00BB6445" w:rsidRDefault="00CE3FD1" w:rsidP="00BB6445">
      <w:pPr>
        <w:jc w:val="both"/>
        <w:rPr>
          <w:rFonts w:ascii="Times New Roman" w:hAnsi="Times New Roman" w:cs="Times New Roman"/>
          <w:b/>
          <w:bCs/>
          <w:sz w:val="30"/>
          <w:szCs w:val="30"/>
          <w:lang w:val="en-US"/>
        </w:rPr>
      </w:pPr>
      <w:r>
        <w:rPr>
          <w:lang w:val="en-US"/>
        </w:rPr>
        <w:br w:type="page"/>
      </w:r>
      <w:r w:rsidRPr="00BB6445">
        <w:rPr>
          <w:rFonts w:ascii="Times New Roman" w:hAnsi="Times New Roman" w:cs="Times New Roman"/>
          <w:b/>
          <w:bCs/>
          <w:sz w:val="30"/>
          <w:szCs w:val="30"/>
          <w:lang w:val="en-US"/>
        </w:rPr>
        <w:lastRenderedPageBreak/>
        <w:t>SUPPORTING DOCUMENTS</w:t>
      </w:r>
    </w:p>
    <w:p w14:paraId="4D29FD34" w14:textId="77777777" w:rsidR="00BB6445" w:rsidRDefault="00E4175C" w:rsidP="00BB6445">
      <w:pPr>
        <w:jc w:val="both"/>
        <w:rPr>
          <w:rFonts w:ascii="Times New Roman" w:hAnsi="Times New Roman" w:cs="Times New Roman"/>
          <w:b/>
          <w:bCs/>
          <w:sz w:val="30"/>
          <w:szCs w:val="30"/>
          <w:lang w:val="en-US"/>
        </w:rPr>
      </w:pPr>
      <w:r w:rsidRPr="00BB6445">
        <w:rPr>
          <w:rFonts w:ascii="Times New Roman" w:hAnsi="Times New Roman" w:cs="Times New Roman"/>
          <w:b/>
          <w:bCs/>
          <w:sz w:val="30"/>
          <w:szCs w:val="30"/>
          <w:lang w:val="en-US"/>
        </w:rPr>
        <w:t>IFA – International Fertilizer Association</w:t>
      </w:r>
    </w:p>
    <w:p w14:paraId="4B7D9EEF" w14:textId="58F86AE7" w:rsidR="00E4175C" w:rsidRPr="00BB6445" w:rsidRDefault="00E4175C" w:rsidP="00BB6445">
      <w:pPr>
        <w:spacing w:after="0" w:line="240" w:lineRule="auto"/>
        <w:jc w:val="both"/>
        <w:rPr>
          <w:rFonts w:ascii="Times New Roman" w:hAnsi="Times New Roman" w:cs="Times New Roman"/>
          <w:sz w:val="30"/>
          <w:szCs w:val="30"/>
          <w:lang w:val="en-US"/>
        </w:rPr>
      </w:pPr>
      <w:r w:rsidRPr="00BB6445">
        <w:rPr>
          <w:rFonts w:ascii="Times New Roman" w:hAnsi="Times New Roman" w:cs="Times New Roman"/>
          <w:sz w:val="30"/>
          <w:szCs w:val="30"/>
          <w:lang w:val="en-US"/>
        </w:rPr>
        <w:t>“Farmers’ access to inputs such as fertilizers is vital for food security. There is a strong link between people’s nutrition and the amounts and types of minerals available in soil and plants. This is because plants are the primary source of nutrients for people and animals.</w:t>
      </w:r>
    </w:p>
    <w:p w14:paraId="30827725" w14:textId="77777777" w:rsidR="00BB6445" w:rsidRDefault="00E4175C" w:rsidP="00BB6445">
      <w:pPr>
        <w:spacing w:after="0" w:line="240" w:lineRule="auto"/>
        <w:jc w:val="both"/>
        <w:rPr>
          <w:rFonts w:ascii="Times New Roman" w:hAnsi="Times New Roman" w:cs="Times New Roman"/>
          <w:sz w:val="30"/>
          <w:szCs w:val="30"/>
          <w:lang w:val="en-US"/>
        </w:rPr>
      </w:pPr>
      <w:r w:rsidRPr="00BB6445">
        <w:rPr>
          <w:rFonts w:ascii="Times New Roman" w:hAnsi="Times New Roman" w:cs="Times New Roman"/>
          <w:sz w:val="30"/>
          <w:szCs w:val="30"/>
          <w:u w:val="single"/>
          <w:lang w:val="en-US"/>
        </w:rPr>
        <w:t>Potash (potassium) and plants</w:t>
      </w:r>
      <w:r w:rsidRPr="00BB6445">
        <w:rPr>
          <w:rFonts w:ascii="Times New Roman" w:hAnsi="Times New Roman" w:cs="Times New Roman"/>
          <w:sz w:val="30"/>
          <w:szCs w:val="30"/>
          <w:lang w:val="en-US"/>
        </w:rPr>
        <w:t xml:space="preserve">. Potassium has major functions in enzyme activation, transpiration and the transport of assimilates (the products of photosynthesis). It helps plants retain water during droughts, provides strength to plant cell walls and decreases susceptibility to diseases and insects. </w:t>
      </w:r>
    </w:p>
    <w:p w14:paraId="2AD59498" w14:textId="73F8F2AB" w:rsidR="00CE3FD1" w:rsidRPr="00BB6445" w:rsidRDefault="00E4175C" w:rsidP="00BB6445">
      <w:pPr>
        <w:spacing w:after="0" w:line="240" w:lineRule="auto"/>
        <w:jc w:val="both"/>
        <w:rPr>
          <w:rFonts w:ascii="Times New Roman" w:hAnsi="Times New Roman" w:cs="Times New Roman"/>
          <w:sz w:val="30"/>
          <w:szCs w:val="30"/>
          <w:lang w:val="en-US"/>
        </w:rPr>
      </w:pPr>
      <w:r w:rsidRPr="00BB6445">
        <w:rPr>
          <w:rFonts w:ascii="Times New Roman" w:hAnsi="Times New Roman" w:cs="Times New Roman"/>
          <w:sz w:val="30"/>
          <w:szCs w:val="30"/>
          <w:u w:val="single"/>
          <w:lang w:val="en-US"/>
        </w:rPr>
        <w:t>Potash (potassium) and people</w:t>
      </w:r>
      <w:r w:rsidRPr="00BB6445">
        <w:rPr>
          <w:rFonts w:ascii="Times New Roman" w:hAnsi="Times New Roman" w:cs="Times New Roman"/>
          <w:sz w:val="30"/>
          <w:szCs w:val="30"/>
          <w:lang w:val="en-US"/>
        </w:rPr>
        <w:t>. Potassium is vital for the proper functioning of cells, and muscles and nerves depend on it. Since potassium cannot be stored in the body, it must be continually replaced by foods rich in potassium.</w:t>
      </w:r>
    </w:p>
    <w:p w14:paraId="795AE330" w14:textId="187D5DC7" w:rsidR="00E4175C" w:rsidRPr="00BB6445" w:rsidRDefault="00EA2CA9" w:rsidP="00BB6445">
      <w:pPr>
        <w:spacing w:after="0" w:line="240" w:lineRule="auto"/>
        <w:jc w:val="both"/>
        <w:rPr>
          <w:rFonts w:ascii="Times New Roman" w:hAnsi="Times New Roman" w:cs="Times New Roman"/>
          <w:sz w:val="30"/>
          <w:szCs w:val="30"/>
          <w:lang w:val="en-US"/>
        </w:rPr>
      </w:pPr>
      <w:r w:rsidRPr="00BB6445">
        <w:rPr>
          <w:rFonts w:ascii="Times New Roman" w:hAnsi="Times New Roman" w:cs="Times New Roman"/>
          <w:sz w:val="30"/>
          <w:szCs w:val="30"/>
          <w:lang w:val="en-US"/>
        </w:rPr>
        <w:t xml:space="preserve">Potash-based fertilizers are produced from mined ores. Mines can take months or longer to make changes in production, there is not always a quick way to bridge gaps in supply. It also takes several years to construct </w:t>
      </w:r>
      <w:proofErr w:type="spellStart"/>
      <w:r w:rsidRPr="00BB6445">
        <w:rPr>
          <w:rFonts w:ascii="Times New Roman" w:hAnsi="Times New Roman" w:cs="Times New Roman"/>
          <w:sz w:val="30"/>
          <w:szCs w:val="30"/>
          <w:lang w:val="en-US"/>
        </w:rPr>
        <w:t>newbuild</w:t>
      </w:r>
      <w:proofErr w:type="spellEnd"/>
      <w:r w:rsidRPr="00BB6445">
        <w:rPr>
          <w:rFonts w:ascii="Times New Roman" w:hAnsi="Times New Roman" w:cs="Times New Roman"/>
          <w:sz w:val="30"/>
          <w:szCs w:val="30"/>
          <w:lang w:val="en-US"/>
        </w:rPr>
        <w:t xml:space="preserve"> processing plants to upgrade the mined ores into finished fertilizer products.”</w:t>
      </w:r>
    </w:p>
    <w:p w14:paraId="082E71F9" w14:textId="02C84C1E" w:rsidR="00BB6445" w:rsidRDefault="00EA2CA9" w:rsidP="00CE4F52">
      <w:pPr>
        <w:spacing w:after="0" w:line="240" w:lineRule="auto"/>
        <w:jc w:val="both"/>
        <w:rPr>
          <w:rFonts w:ascii="Times New Roman" w:hAnsi="Times New Roman" w:cs="Times New Roman"/>
          <w:sz w:val="30"/>
          <w:szCs w:val="30"/>
          <w:lang w:val="ru-RU"/>
        </w:rPr>
      </w:pPr>
      <w:r w:rsidRPr="00BB6445">
        <w:rPr>
          <w:rFonts w:ascii="Times New Roman" w:hAnsi="Times New Roman" w:cs="Times New Roman"/>
          <w:sz w:val="30"/>
          <w:szCs w:val="30"/>
          <w:lang w:val="en-US"/>
        </w:rPr>
        <w:t>To see the complete IFA Global Food Security fact sheet, access the link below:</w:t>
      </w:r>
      <w:r w:rsidR="00BB6445" w:rsidRPr="00BB6445">
        <w:rPr>
          <w:rFonts w:ascii="Times New Roman" w:hAnsi="Times New Roman" w:cs="Times New Roman"/>
          <w:sz w:val="30"/>
          <w:szCs w:val="30"/>
          <w:lang w:val="en-US"/>
        </w:rPr>
        <w:t xml:space="preserve"> </w:t>
      </w:r>
      <w:hyperlink r:id="rId16" w:history="1">
        <w:r w:rsidRPr="00BB6445">
          <w:rPr>
            <w:rStyle w:val="a3"/>
            <w:rFonts w:ascii="Times New Roman" w:hAnsi="Times New Roman" w:cs="Times New Roman"/>
            <w:sz w:val="30"/>
            <w:szCs w:val="30"/>
            <w:lang w:val="en-US"/>
          </w:rPr>
          <w:t>https://www.fertilizer.org/public/resources/publication_detail.aspx?SEQN=6159&amp;PUBKEY=D99ED715-91F4-4899-8E7D-4B5F00391327</w:t>
        </w:r>
      </w:hyperlink>
    </w:p>
    <w:p w14:paraId="591CDC3C" w14:textId="77777777" w:rsidR="00CE4F52" w:rsidRPr="00CE4F52" w:rsidRDefault="00CE4F52" w:rsidP="00CE4F52">
      <w:pPr>
        <w:spacing w:after="0" w:line="240" w:lineRule="auto"/>
        <w:jc w:val="both"/>
        <w:rPr>
          <w:rFonts w:ascii="Times New Roman" w:hAnsi="Times New Roman" w:cs="Times New Roman"/>
          <w:sz w:val="30"/>
          <w:szCs w:val="30"/>
          <w:lang w:val="ru-RU"/>
        </w:rPr>
      </w:pPr>
    </w:p>
    <w:p w14:paraId="59A252D0" w14:textId="19D7D5B6" w:rsidR="00BB6445" w:rsidRDefault="00CE3FD1" w:rsidP="00BB6445">
      <w:pPr>
        <w:jc w:val="both"/>
        <w:rPr>
          <w:rFonts w:ascii="Times New Roman" w:hAnsi="Times New Roman" w:cs="Times New Roman"/>
          <w:b/>
          <w:bCs/>
          <w:sz w:val="30"/>
          <w:szCs w:val="30"/>
          <w:lang w:val="en-US"/>
        </w:rPr>
      </w:pPr>
      <w:r w:rsidRPr="00BB6445">
        <w:rPr>
          <w:rFonts w:ascii="Times New Roman" w:hAnsi="Times New Roman" w:cs="Times New Roman"/>
          <w:b/>
          <w:bCs/>
          <w:sz w:val="30"/>
          <w:szCs w:val="30"/>
          <w:lang w:val="en-US"/>
        </w:rPr>
        <w:t xml:space="preserve">TFI </w:t>
      </w:r>
      <w:r w:rsidR="00EA2CA9" w:rsidRPr="00BB6445">
        <w:rPr>
          <w:rFonts w:ascii="Times New Roman" w:hAnsi="Times New Roman" w:cs="Times New Roman"/>
          <w:b/>
          <w:bCs/>
          <w:sz w:val="30"/>
          <w:szCs w:val="30"/>
          <w:lang w:val="en-US"/>
        </w:rPr>
        <w:t>– The Fertilizer Institute</w:t>
      </w:r>
    </w:p>
    <w:p w14:paraId="287C2380" w14:textId="08E523FD" w:rsidR="00FF77DA" w:rsidRPr="00BB6445" w:rsidRDefault="00FF77DA" w:rsidP="00BB6445">
      <w:pPr>
        <w:spacing w:after="0" w:line="240" w:lineRule="auto"/>
        <w:jc w:val="both"/>
        <w:rPr>
          <w:rFonts w:ascii="Times New Roman" w:hAnsi="Times New Roman" w:cs="Times New Roman"/>
          <w:color w:val="31373D"/>
          <w:spacing w:val="3"/>
          <w:sz w:val="30"/>
          <w:szCs w:val="30"/>
          <w:lang w:val="en-US"/>
        </w:rPr>
      </w:pPr>
      <w:r w:rsidRPr="00BB6445">
        <w:rPr>
          <w:rFonts w:ascii="Times New Roman" w:hAnsi="Times New Roman" w:cs="Times New Roman"/>
          <w:color w:val="31373D"/>
          <w:spacing w:val="3"/>
          <w:sz w:val="30"/>
          <w:szCs w:val="30"/>
          <w:lang w:val="en-US"/>
        </w:rPr>
        <w:t>“All mineral fertilizer products have the potential to suffer supply disruptions. At the most local scale, markets with relatively few players such as potash can suffer disruptions as a result of a single mine or plant going out of operation or no longer having access to the market. In 2019, the top four potash exporters – Canada, Belarus, Russia and Israel – accounted for 85% of global trade volume (IFA: IFASTAT). Producer-level disruptions can occur as a result of technical issues, natural disasters, geopolitical tensions and other unforeseen factors.</w:t>
      </w:r>
    </w:p>
    <w:p w14:paraId="60BB0188" w14:textId="6FCF8A99" w:rsidR="00FF77DA" w:rsidRPr="00BB6445" w:rsidRDefault="00FF77DA" w:rsidP="00BB6445">
      <w:pPr>
        <w:spacing w:after="0" w:line="240" w:lineRule="auto"/>
        <w:jc w:val="both"/>
        <w:rPr>
          <w:rFonts w:ascii="Times New Roman" w:hAnsi="Times New Roman" w:cs="Times New Roman"/>
          <w:color w:val="31373D"/>
          <w:spacing w:val="3"/>
          <w:sz w:val="30"/>
          <w:szCs w:val="30"/>
          <w:lang w:val="en-US"/>
        </w:rPr>
      </w:pPr>
      <w:r w:rsidRPr="00BB6445">
        <w:rPr>
          <w:rFonts w:ascii="Times New Roman" w:hAnsi="Times New Roman" w:cs="Times New Roman"/>
          <w:color w:val="31373D"/>
          <w:spacing w:val="3"/>
          <w:sz w:val="30"/>
          <w:szCs w:val="30"/>
          <w:lang w:val="en-US"/>
        </w:rPr>
        <w:t>Governments across the globe designated fertilizer as an essential good in the early part of the Covid-19 pandemic, an indicator of its vital role in the agriculture value chain, and they should continue to do so.</w:t>
      </w:r>
    </w:p>
    <w:p w14:paraId="06D06F21" w14:textId="77777777" w:rsidR="00FF77DA" w:rsidRPr="00BB6445" w:rsidRDefault="00FF77DA" w:rsidP="00BB6445">
      <w:pPr>
        <w:pStyle w:val="a4"/>
        <w:spacing w:before="0" w:beforeAutospacing="0" w:after="0" w:afterAutospacing="0"/>
        <w:jc w:val="both"/>
        <w:rPr>
          <w:color w:val="31373D"/>
          <w:spacing w:val="3"/>
          <w:sz w:val="30"/>
          <w:szCs w:val="30"/>
        </w:rPr>
      </w:pPr>
      <w:r w:rsidRPr="00BB6445">
        <w:rPr>
          <w:color w:val="31373D"/>
          <w:spacing w:val="3"/>
          <w:sz w:val="30"/>
          <w:szCs w:val="30"/>
        </w:rPr>
        <w:t>A </w:t>
      </w:r>
      <w:hyperlink r:id="rId17" w:history="1">
        <w:r w:rsidRPr="00BB6445">
          <w:rPr>
            <w:rStyle w:val="a3"/>
            <w:color w:val="FF6C0C"/>
            <w:spacing w:val="3"/>
            <w:sz w:val="30"/>
            <w:szCs w:val="30"/>
          </w:rPr>
          <w:t>note on nutrition security</w:t>
        </w:r>
      </w:hyperlink>
      <w:r w:rsidRPr="00BB6445">
        <w:rPr>
          <w:color w:val="31373D"/>
          <w:spacing w:val="3"/>
          <w:sz w:val="30"/>
          <w:szCs w:val="30"/>
        </w:rPr>
        <w:t>, some 3 billion people cannot afford a basic healthy diet that contains all the essential nutrients for a healthy life.</w:t>
      </w:r>
    </w:p>
    <w:p w14:paraId="68E44358" w14:textId="1C521307" w:rsidR="00BE5C10" w:rsidRPr="00BB6445" w:rsidRDefault="00FF77DA" w:rsidP="00CE4F52">
      <w:pPr>
        <w:pStyle w:val="a4"/>
        <w:spacing w:before="0" w:beforeAutospacing="0" w:after="0" w:afterAutospacing="0"/>
        <w:jc w:val="both"/>
        <w:rPr>
          <w:sz w:val="30"/>
          <w:szCs w:val="30"/>
        </w:rPr>
      </w:pPr>
      <w:r w:rsidRPr="00BB6445">
        <w:rPr>
          <w:color w:val="31373D"/>
          <w:spacing w:val="3"/>
          <w:sz w:val="30"/>
          <w:szCs w:val="30"/>
        </w:rPr>
        <w:t>Farmers’ access to inputs such as fertilizers is vital for food security. There is a strong link between people’s nutrition and the amounts and types of minerals available in soil and plants. This is because plants are the primary source of nutrients for people and animals.”</w:t>
      </w:r>
      <w:r w:rsidR="00CE4F52" w:rsidRPr="00CE4F52">
        <w:rPr>
          <w:color w:val="31373D"/>
          <w:spacing w:val="3"/>
          <w:sz w:val="30"/>
          <w:szCs w:val="30"/>
        </w:rPr>
        <w:t xml:space="preserve"> </w:t>
      </w:r>
      <w:r w:rsidRPr="00BB6445">
        <w:rPr>
          <w:sz w:val="30"/>
          <w:szCs w:val="30"/>
        </w:rPr>
        <w:t>To see the complete TFI “Global Food Security – a critical issue” report, access the link:</w:t>
      </w:r>
      <w:r w:rsidR="00BB6445" w:rsidRPr="00BB6445">
        <w:rPr>
          <w:sz w:val="30"/>
          <w:szCs w:val="30"/>
        </w:rPr>
        <w:t xml:space="preserve"> </w:t>
      </w:r>
      <w:hyperlink r:id="rId18" w:history="1">
        <w:r w:rsidRPr="00BB6445">
          <w:rPr>
            <w:rStyle w:val="a3"/>
            <w:sz w:val="30"/>
            <w:szCs w:val="30"/>
          </w:rPr>
          <w:t>https://www.tfi.org/content/global-food-security-critical-issue</w:t>
        </w:r>
      </w:hyperlink>
      <w:r w:rsidR="00BB6445" w:rsidRPr="00BB6445">
        <w:rPr>
          <w:rStyle w:val="a3"/>
          <w:sz w:val="30"/>
          <w:szCs w:val="30"/>
        </w:rPr>
        <w:t xml:space="preserve"> </w:t>
      </w:r>
    </w:p>
    <w:sectPr w:rsidR="00BE5C10" w:rsidRPr="00BB6445" w:rsidSect="00CE4F52">
      <w:pgSz w:w="11906" w:h="16838"/>
      <w:pgMar w:top="1134" w:right="567"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3914E" w14:textId="77777777" w:rsidR="005A6155" w:rsidRDefault="005A6155" w:rsidP="00B2653A">
      <w:pPr>
        <w:spacing w:after="0" w:line="240" w:lineRule="auto"/>
      </w:pPr>
      <w:r>
        <w:separator/>
      </w:r>
    </w:p>
  </w:endnote>
  <w:endnote w:type="continuationSeparator" w:id="0">
    <w:p w14:paraId="0E9D33F2" w14:textId="77777777" w:rsidR="005A6155" w:rsidRDefault="005A6155" w:rsidP="00B26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A8B10" w14:textId="77777777" w:rsidR="005A6155" w:rsidRDefault="005A6155" w:rsidP="00B2653A">
      <w:pPr>
        <w:spacing w:after="0" w:line="240" w:lineRule="auto"/>
      </w:pPr>
      <w:r>
        <w:separator/>
      </w:r>
    </w:p>
  </w:footnote>
  <w:footnote w:type="continuationSeparator" w:id="0">
    <w:p w14:paraId="65FC05B6" w14:textId="77777777" w:rsidR="005A6155" w:rsidRDefault="005A6155" w:rsidP="00B265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53A"/>
    <w:rsid w:val="000537AC"/>
    <w:rsid w:val="0006768B"/>
    <w:rsid w:val="000715BF"/>
    <w:rsid w:val="0021792D"/>
    <w:rsid w:val="002C4762"/>
    <w:rsid w:val="002C6C58"/>
    <w:rsid w:val="00393EC5"/>
    <w:rsid w:val="003D3459"/>
    <w:rsid w:val="004E53BE"/>
    <w:rsid w:val="00584A21"/>
    <w:rsid w:val="005A6155"/>
    <w:rsid w:val="005B5BB3"/>
    <w:rsid w:val="006F68FA"/>
    <w:rsid w:val="00706F17"/>
    <w:rsid w:val="007956E2"/>
    <w:rsid w:val="00807C94"/>
    <w:rsid w:val="008263F5"/>
    <w:rsid w:val="0086546C"/>
    <w:rsid w:val="008C462F"/>
    <w:rsid w:val="00977363"/>
    <w:rsid w:val="009A78F1"/>
    <w:rsid w:val="00A01735"/>
    <w:rsid w:val="00A05313"/>
    <w:rsid w:val="00B2653A"/>
    <w:rsid w:val="00B43F99"/>
    <w:rsid w:val="00BB6445"/>
    <w:rsid w:val="00BE5C10"/>
    <w:rsid w:val="00C3604B"/>
    <w:rsid w:val="00CA0E96"/>
    <w:rsid w:val="00CE3FD1"/>
    <w:rsid w:val="00CE4F52"/>
    <w:rsid w:val="00E4175C"/>
    <w:rsid w:val="00E4347F"/>
    <w:rsid w:val="00E64F82"/>
    <w:rsid w:val="00E77835"/>
    <w:rsid w:val="00EA2CA9"/>
    <w:rsid w:val="00EE7561"/>
    <w:rsid w:val="00F6711A"/>
    <w:rsid w:val="00F832B9"/>
    <w:rsid w:val="00FE0BE2"/>
    <w:rsid w:val="00FF77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96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BE5C1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a0"/>
    <w:rsid w:val="00BE5C10"/>
  </w:style>
  <w:style w:type="character" w:customStyle="1" w:styleId="eop">
    <w:name w:val="eop"/>
    <w:basedOn w:val="a0"/>
    <w:rsid w:val="00BE5C10"/>
  </w:style>
  <w:style w:type="character" w:customStyle="1" w:styleId="scxw134481111">
    <w:name w:val="scxw134481111"/>
    <w:basedOn w:val="a0"/>
    <w:rsid w:val="00BE5C10"/>
  </w:style>
  <w:style w:type="character" w:styleId="a3">
    <w:name w:val="Hyperlink"/>
    <w:basedOn w:val="a0"/>
    <w:uiPriority w:val="99"/>
    <w:unhideWhenUsed/>
    <w:rsid w:val="00EA2CA9"/>
    <w:rPr>
      <w:color w:val="0563C1"/>
      <w:u w:val="single"/>
    </w:rPr>
  </w:style>
  <w:style w:type="paragraph" w:styleId="a4">
    <w:name w:val="Normal (Web)"/>
    <w:basedOn w:val="a"/>
    <w:uiPriority w:val="99"/>
    <w:unhideWhenUsed/>
    <w:rsid w:val="00FF77D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
    <w:name w:val="Неразрешенное упоминание1"/>
    <w:basedOn w:val="a0"/>
    <w:uiPriority w:val="99"/>
    <w:semiHidden/>
    <w:unhideWhenUsed/>
    <w:rsid w:val="00FF77DA"/>
    <w:rPr>
      <w:color w:val="605E5C"/>
      <w:shd w:val="clear" w:color="auto" w:fill="E1DFDD"/>
    </w:rPr>
  </w:style>
  <w:style w:type="paragraph" w:styleId="a5">
    <w:name w:val="Balloon Text"/>
    <w:basedOn w:val="a"/>
    <w:link w:val="a6"/>
    <w:uiPriority w:val="99"/>
    <w:semiHidden/>
    <w:unhideWhenUsed/>
    <w:rsid w:val="00CA0E9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A0E9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BE5C1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a0"/>
    <w:rsid w:val="00BE5C10"/>
  </w:style>
  <w:style w:type="character" w:customStyle="1" w:styleId="eop">
    <w:name w:val="eop"/>
    <w:basedOn w:val="a0"/>
    <w:rsid w:val="00BE5C10"/>
  </w:style>
  <w:style w:type="character" w:customStyle="1" w:styleId="scxw134481111">
    <w:name w:val="scxw134481111"/>
    <w:basedOn w:val="a0"/>
    <w:rsid w:val="00BE5C10"/>
  </w:style>
  <w:style w:type="character" w:styleId="a3">
    <w:name w:val="Hyperlink"/>
    <w:basedOn w:val="a0"/>
    <w:uiPriority w:val="99"/>
    <w:unhideWhenUsed/>
    <w:rsid w:val="00EA2CA9"/>
    <w:rPr>
      <w:color w:val="0563C1"/>
      <w:u w:val="single"/>
    </w:rPr>
  </w:style>
  <w:style w:type="paragraph" w:styleId="a4">
    <w:name w:val="Normal (Web)"/>
    <w:basedOn w:val="a"/>
    <w:uiPriority w:val="99"/>
    <w:unhideWhenUsed/>
    <w:rsid w:val="00FF77D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
    <w:name w:val="Неразрешенное упоминание1"/>
    <w:basedOn w:val="a0"/>
    <w:uiPriority w:val="99"/>
    <w:semiHidden/>
    <w:unhideWhenUsed/>
    <w:rsid w:val="00FF77DA"/>
    <w:rPr>
      <w:color w:val="605E5C"/>
      <w:shd w:val="clear" w:color="auto" w:fill="E1DFDD"/>
    </w:rPr>
  </w:style>
  <w:style w:type="paragraph" w:styleId="a5">
    <w:name w:val="Balloon Text"/>
    <w:basedOn w:val="a"/>
    <w:link w:val="a6"/>
    <w:uiPriority w:val="99"/>
    <w:semiHidden/>
    <w:unhideWhenUsed/>
    <w:rsid w:val="00CA0E9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A0E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403934">
      <w:bodyDiv w:val="1"/>
      <w:marLeft w:val="0"/>
      <w:marRight w:val="0"/>
      <w:marTop w:val="0"/>
      <w:marBottom w:val="0"/>
      <w:divBdr>
        <w:top w:val="none" w:sz="0" w:space="0" w:color="auto"/>
        <w:left w:val="none" w:sz="0" w:space="0" w:color="auto"/>
        <w:bottom w:val="none" w:sz="0" w:space="0" w:color="auto"/>
        <w:right w:val="none" w:sz="0" w:space="0" w:color="auto"/>
      </w:divBdr>
    </w:div>
    <w:div w:id="1448505616">
      <w:bodyDiv w:val="1"/>
      <w:marLeft w:val="0"/>
      <w:marRight w:val="0"/>
      <w:marTop w:val="0"/>
      <w:marBottom w:val="0"/>
      <w:divBdr>
        <w:top w:val="none" w:sz="0" w:space="0" w:color="auto"/>
        <w:left w:val="none" w:sz="0" w:space="0" w:color="auto"/>
        <w:bottom w:val="none" w:sz="0" w:space="0" w:color="auto"/>
        <w:right w:val="none" w:sz="0" w:space="0" w:color="auto"/>
      </w:divBdr>
      <w:divsChild>
        <w:div w:id="1589921629">
          <w:marLeft w:val="0"/>
          <w:marRight w:val="0"/>
          <w:marTop w:val="0"/>
          <w:marBottom w:val="0"/>
          <w:divBdr>
            <w:top w:val="none" w:sz="0" w:space="0" w:color="auto"/>
            <w:left w:val="none" w:sz="0" w:space="0" w:color="auto"/>
            <w:bottom w:val="none" w:sz="0" w:space="0" w:color="auto"/>
            <w:right w:val="none" w:sz="0" w:space="0" w:color="auto"/>
          </w:divBdr>
        </w:div>
        <w:div w:id="1609579351">
          <w:marLeft w:val="0"/>
          <w:marRight w:val="0"/>
          <w:marTop w:val="0"/>
          <w:marBottom w:val="0"/>
          <w:divBdr>
            <w:top w:val="none" w:sz="0" w:space="0" w:color="auto"/>
            <w:left w:val="none" w:sz="0" w:space="0" w:color="auto"/>
            <w:bottom w:val="none" w:sz="0" w:space="0" w:color="auto"/>
            <w:right w:val="none" w:sz="0" w:space="0" w:color="auto"/>
          </w:divBdr>
        </w:div>
        <w:div w:id="72238816">
          <w:marLeft w:val="0"/>
          <w:marRight w:val="0"/>
          <w:marTop w:val="0"/>
          <w:marBottom w:val="0"/>
          <w:divBdr>
            <w:top w:val="none" w:sz="0" w:space="0" w:color="auto"/>
            <w:left w:val="none" w:sz="0" w:space="0" w:color="auto"/>
            <w:bottom w:val="none" w:sz="0" w:space="0" w:color="auto"/>
            <w:right w:val="none" w:sz="0" w:space="0" w:color="auto"/>
          </w:divBdr>
        </w:div>
        <w:div w:id="644503710">
          <w:marLeft w:val="0"/>
          <w:marRight w:val="0"/>
          <w:marTop w:val="0"/>
          <w:marBottom w:val="0"/>
          <w:divBdr>
            <w:top w:val="none" w:sz="0" w:space="0" w:color="auto"/>
            <w:left w:val="none" w:sz="0" w:space="0" w:color="auto"/>
            <w:bottom w:val="none" w:sz="0" w:space="0" w:color="auto"/>
            <w:right w:val="none" w:sz="0" w:space="0" w:color="auto"/>
          </w:divBdr>
        </w:div>
      </w:divsChild>
    </w:div>
    <w:div w:id="1709798798">
      <w:bodyDiv w:val="1"/>
      <w:marLeft w:val="0"/>
      <w:marRight w:val="0"/>
      <w:marTop w:val="0"/>
      <w:marBottom w:val="0"/>
      <w:divBdr>
        <w:top w:val="none" w:sz="0" w:space="0" w:color="auto"/>
        <w:left w:val="none" w:sz="0" w:space="0" w:color="auto"/>
        <w:bottom w:val="none" w:sz="0" w:space="0" w:color="auto"/>
        <w:right w:val="none" w:sz="0" w:space="0" w:color="auto"/>
      </w:divBdr>
    </w:div>
    <w:div w:id="21149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tfi.org/content/global-food-security-critical-issu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ao.org/documents/card/en/c/ca9692en/" TargetMode="External"/><Relationship Id="rId2" Type="http://schemas.openxmlformats.org/officeDocument/2006/relationships/styles" Target="styles.xml"/><Relationship Id="rId16" Type="http://schemas.openxmlformats.org/officeDocument/2006/relationships/hyperlink" Target="https://eur03.safelinks.protection.outlook.com/?url=https%3A%2F%2Fwww.fertilizer.org%2Fpublic%2Fresources%2Fpublication_detail.aspx%3FSEQN%3D6159%26PUBKEY%3DD99ED715-91F4-4899-8E7D-4B5F00391327&amp;data=04%7C01%7C%7C518f572c675640b3c23f08d930297863%7Cef8a53ea1a1c4189b792c832dcaea568%7C0%7C0%7C637593776976752663%7CUnknown%7CTWFpbGZsb3d8eyJWIjoiMC4wLjAwMDAiLCJQIjoiV2luMzIiLCJBTiI6Ik1haWwiLCJXVCI6Mn0%3D%7C1000&amp;sdata=2P4c1ZToOVboSoYjvueJSevZuXW9zVRakVhsys7M31o%3D&amp;reserve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cid:image001.png@01D7A598.7E90F48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9AB5A-28A6-4BF0-A378-9A3575184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842</Words>
  <Characters>4806</Characters>
  <Application>Microsoft Office Word</Application>
  <DocSecurity>0</DocSecurity>
  <Lines>40</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Lair Hanzen</dc:creator>
  <cp:lastModifiedBy>Хорошун Т.К.</cp:lastModifiedBy>
  <cp:revision>2</cp:revision>
  <cp:lastPrinted>2021-10-19T14:24:00Z</cp:lastPrinted>
  <dcterms:created xsi:type="dcterms:W3CDTF">2021-10-22T09:54:00Z</dcterms:created>
  <dcterms:modified xsi:type="dcterms:W3CDTF">2021-10-22T09:54:00Z</dcterms:modified>
</cp:coreProperties>
</file>