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D1" w:rsidRPr="00F536D1" w:rsidRDefault="00B66C99" w:rsidP="00F53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Социально </w:t>
      </w:r>
      <w:r w:rsidR="00597B15"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ориентированный</w:t>
      </w:r>
      <w:r w:rsidR="00E62F50"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 проект </w:t>
      </w:r>
    </w:p>
    <w:p w:rsidR="00F536D1" w:rsidRPr="00F536D1" w:rsidRDefault="00E62F50" w:rsidP="00F53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</w:pPr>
      <w:r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государственного учреждения культуры </w:t>
      </w:r>
    </w:p>
    <w:p w:rsidR="00B66C99" w:rsidRDefault="00E62F50" w:rsidP="00F53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</w:pPr>
      <w:r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«</w:t>
      </w:r>
      <w:proofErr w:type="spellStart"/>
      <w:r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Молодечненская</w:t>
      </w:r>
      <w:proofErr w:type="spellEnd"/>
      <w:r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 центральная районная библиотека </w:t>
      </w:r>
    </w:p>
    <w:p w:rsidR="00B66C99" w:rsidRDefault="00E62F50" w:rsidP="00F53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</w:pPr>
      <w:r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имени Максима Богдановича» </w:t>
      </w:r>
    </w:p>
    <w:p w:rsidR="00B66C99" w:rsidRDefault="00E62F50" w:rsidP="00F53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</w:pPr>
      <w:r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городская </w:t>
      </w:r>
      <w:r w:rsidR="00597B15"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специализированная </w:t>
      </w:r>
      <w:r w:rsidR="00A33A61"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библиотека-</w:t>
      </w:r>
      <w:r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филиал №</w:t>
      </w:r>
      <w:r w:rsidR="00597B15"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18</w:t>
      </w:r>
      <w:r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 xml:space="preserve"> </w:t>
      </w:r>
    </w:p>
    <w:p w:rsidR="00E62F50" w:rsidRPr="00F536D1" w:rsidRDefault="00E62F50" w:rsidP="00F53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</w:pPr>
      <w:r w:rsidRPr="00F536D1"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  <w:t>Минской области ищет спонсоров</w:t>
      </w:r>
    </w:p>
    <w:p w:rsidR="00016E39" w:rsidRPr="00F536D1" w:rsidRDefault="00016E39" w:rsidP="00E62F5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0070C0"/>
          <w:sz w:val="30"/>
          <w:szCs w:val="30"/>
          <w:lang w:eastAsia="ru-RU"/>
        </w:rPr>
      </w:pPr>
    </w:p>
    <w:p w:rsidR="00016E39" w:rsidRPr="002B3D88" w:rsidRDefault="00016E39" w:rsidP="00016E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36D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Наименование проекта:</w:t>
      </w:r>
      <w:r w:rsidRPr="002B3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«Новые информационные технологии в обеспечении чтения инвалидов по зрению (</w:t>
      </w:r>
      <w:proofErr w:type="spellStart"/>
      <w:r w:rsidRPr="002B3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тифлоинформационный</w:t>
      </w:r>
      <w:proofErr w:type="spellEnd"/>
      <w:r w:rsidRPr="002B3D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центр)»</w:t>
      </w:r>
    </w:p>
    <w:p w:rsidR="00016E39" w:rsidRPr="002B3D88" w:rsidRDefault="00016E39" w:rsidP="00E62F5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</w:p>
    <w:p w:rsidR="00E62F50" w:rsidRDefault="00F42A79" w:rsidP="00F4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3676" cy="993530"/>
            <wp:effectExtent l="0" t="0" r="0" b="0"/>
            <wp:docPr id="6" name="Рисунок 6" descr="ÐÐ°ÑÑÐ¸Ð½ÐºÐ¸ Ð¿Ð¾ Ð·Ð°Ð¿ÑÐ¾ÑÑ ÑÐ¸ÑÐ»Ð¾ÑÐµÐ½Ñ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Ð¸ÑÐ»Ð¾ÑÐµÐ½ÑÑ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3" b="10959"/>
                    <a:stretch/>
                  </pic:blipFill>
                  <pic:spPr bwMode="auto">
                    <a:xfrm>
                      <a:off x="0" y="0"/>
                      <a:ext cx="1283721" cy="9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3D1" w:rsidRDefault="008643D1" w:rsidP="00F42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3D1" w:rsidRPr="002B3D88" w:rsidRDefault="00016E39" w:rsidP="008643D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  <w:lang w:eastAsia="ru-RU"/>
        </w:rPr>
      </w:pPr>
      <w:r w:rsidRPr="002B3D88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  <w:lang w:eastAsia="ru-RU"/>
        </w:rPr>
        <w:t>Г</w:t>
      </w:r>
      <w:r w:rsidR="008643D1" w:rsidRPr="002B3D88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  <w:lang w:eastAsia="ru-RU"/>
        </w:rPr>
        <w:t>осударственного учреждения культуры «Молодечненская центральная районная библиотека имени Максима Богдановича» городская специализированная библиотека-филиал №18 Минской области ищет спонсоров</w:t>
      </w:r>
    </w:p>
    <w:p w:rsidR="008643D1" w:rsidRPr="000E3748" w:rsidRDefault="008643D1" w:rsidP="00864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Borders>
          <w:top w:val="single" w:sz="6" w:space="0" w:color="D0D3D4"/>
          <w:left w:val="single" w:sz="6" w:space="0" w:color="D0D3D4"/>
          <w:bottom w:val="single" w:sz="6" w:space="0" w:color="D0D3D4"/>
          <w:right w:val="single" w:sz="6" w:space="0" w:color="D0D3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9410"/>
      </w:tblGrid>
      <w:tr w:rsidR="00597B15" w:rsidRPr="000E3748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00609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0E3748" w:rsidRDefault="00E62F50" w:rsidP="00F4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00609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F4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Наименование проекта: «</w:t>
            </w:r>
            <w:r w:rsidR="008643D1" w:rsidRPr="002B3D88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Новые информационные технологии в обеспечении чтения инвалидов по зрению (</w:t>
            </w:r>
            <w:proofErr w:type="spellStart"/>
            <w:r w:rsidR="008643D1" w:rsidRPr="002B3D88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тифлоинформационный</w:t>
            </w:r>
            <w:proofErr w:type="spellEnd"/>
            <w:r w:rsidR="008643D1" w:rsidRPr="002B3D88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 xml:space="preserve"> центр)</w:t>
            </w:r>
            <w:r w:rsidRPr="002B3D88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»</w:t>
            </w:r>
          </w:p>
        </w:tc>
      </w:tr>
      <w:tr w:rsidR="00597B15" w:rsidRPr="002B3D88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B66C99" w:rsidP="00B6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Организация-</w:t>
            </w:r>
            <w:r w:rsidR="00E62F50" w:rsidRPr="002B3D8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заявитель, предлагающая проект</w:t>
            </w:r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осударственное учреждение культуры «</w:t>
            </w:r>
            <w:proofErr w:type="spellStart"/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Молодечненская</w:t>
            </w:r>
            <w:proofErr w:type="spellEnd"/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центральная районная библиотека имени Максима Богдановича» 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городская специализированная библиотека-филиал №</w:t>
            </w:r>
            <w:r w:rsidR="00F536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</w:tr>
      <w:tr w:rsidR="00597B15" w:rsidRPr="002B3D88" w:rsidTr="00016E3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Цель проекта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создание условий незрячим и слабовидящим пользователям для образования и самообразования, удовлетворения их интеллектуальных и духовных запросов, 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социальной адаптации в </w:t>
            </w:r>
            <w:r w:rsidR="00F536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</w:t>
            </w:r>
          </w:p>
        </w:tc>
      </w:tr>
      <w:tr w:rsidR="00597B15" w:rsidRPr="002B3D88" w:rsidTr="00B66C99">
        <w:trPr>
          <w:trHeight w:val="3129"/>
        </w:trPr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C99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  <w:p w:rsidR="00B66C99" w:rsidRPr="00B66C99" w:rsidRDefault="00B66C99" w:rsidP="00B66C9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66C99" w:rsidRPr="00B66C99" w:rsidRDefault="00B66C99" w:rsidP="00B66C9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66C99" w:rsidRPr="00B66C99" w:rsidRDefault="00B66C99" w:rsidP="00B66C9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66C99" w:rsidRPr="00B66C99" w:rsidRDefault="00B66C99" w:rsidP="00B66C9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62F50" w:rsidRPr="00B66C99" w:rsidRDefault="00E62F50" w:rsidP="00B66C99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C7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Задачи проекта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E62F50" w:rsidRPr="002B3D88" w:rsidRDefault="00F536D1" w:rsidP="00B66C99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омплектование библиотечных фондов с возможностью использования их людьми с ограниченными возможностями здоровья;</w:t>
            </w:r>
          </w:p>
          <w:p w:rsidR="00E62F50" w:rsidRPr="002B3D88" w:rsidRDefault="00F536D1" w:rsidP="00C77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оздание специальных условий для удовлетворения и развития духовных и познавательных потребностей данной группы общества, содействие развит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 их творческих способностей и </w:t>
            </w:r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интеллектуального потенциала;</w:t>
            </w:r>
          </w:p>
          <w:p w:rsidR="00E62F50" w:rsidRPr="002B3D88" w:rsidRDefault="00F536D1" w:rsidP="00C77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асширение круга общения людей с ограниченными </w:t>
            </w:r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возможностями здоровья, предоставление им равных возможностей для активного участия в социокультурной жизни общества;</w:t>
            </w:r>
          </w:p>
          <w:p w:rsidR="00E62F50" w:rsidRPr="002B3D88" w:rsidRDefault="00F536D1" w:rsidP="00C77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овлечение инвалидов в культурно-досуговые мероприятия, организация их досуга;</w:t>
            </w:r>
          </w:p>
          <w:p w:rsidR="00CB260A" w:rsidRPr="002B3D88" w:rsidRDefault="00F536D1" w:rsidP="00C77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ривлечение внимания городской общественности на проблемы людей с ограниченными возможностями здоровья (в том числе специалистов культурной и прикладной сфер, учащихся школ, средних учебных заведений).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34B9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</w:t>
            </w:r>
            <w:proofErr w:type="spellStart"/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редоставить</w:t>
            </w:r>
            <w:proofErr w:type="spellEnd"/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слабовидящим и 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незрячим людям возможности самостоятельног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чтения и 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доступа к информации;</w:t>
            </w:r>
          </w:p>
          <w:p w:rsidR="00CB260A" w:rsidRPr="002B3D88" w:rsidRDefault="00F536D1" w:rsidP="00C77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редоставл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ение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инвалидам по 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рению в доступной для них форме;</w:t>
            </w:r>
          </w:p>
          <w:p w:rsidR="00CB260A" w:rsidRPr="002B3D88" w:rsidRDefault="00F536D1" w:rsidP="00C77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одготов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персонал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 к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тифлотехникой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CB260A" w:rsidRPr="002B3D88" w:rsidRDefault="00F536D1" w:rsidP="00C77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ндивидуально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обуч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ение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незрячих и слабовидящих пользователей самосто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ятельной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тифлотехникой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CB260A" w:rsidRPr="002B3D88" w:rsidRDefault="00CB260A" w:rsidP="00C77A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укреплени</w:t>
            </w:r>
            <w:r w:rsidR="00F536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материально-технической базы библиотеки современным</w:t>
            </w:r>
            <w:r w:rsidR="00F536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F536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тифлотехническим</w:t>
            </w:r>
            <w:proofErr w:type="spellEnd"/>
            <w:r w:rsidR="00F536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оборудованием;</w:t>
            </w:r>
          </w:p>
          <w:p w:rsidR="00E62F50" w:rsidRPr="002B3D88" w:rsidRDefault="00F536D1" w:rsidP="00F536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одейств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ие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развитию </w:t>
            </w:r>
            <w:proofErr w:type="spellStart"/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тифлокомпьютеризации</w:t>
            </w:r>
            <w:proofErr w:type="spellEnd"/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интересах интеграции лиц с нарушениям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зрения в современное общество</w:t>
            </w:r>
          </w:p>
        </w:tc>
      </w:tr>
      <w:tr w:rsidR="00597B15" w:rsidRPr="002B3D88" w:rsidTr="00016E3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C7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B3D8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Целевая группа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CB260A" w:rsidRPr="002B3D8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слабовидящие </w:t>
            </w:r>
            <w:r w:rsidR="00F536D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незрячие люди города и района</w:t>
            </w:r>
          </w:p>
        </w:tc>
      </w:tr>
      <w:tr w:rsidR="00597B15" w:rsidRPr="002B3D88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B6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Период реализации проекта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года</w:t>
            </w:r>
            <w:r w:rsidR="00CB260A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597B15" w:rsidRPr="002B3D88" w:rsidTr="00016E3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C7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Этапы реализации.</w:t>
            </w:r>
          </w:p>
          <w:p w:rsidR="00E62F50" w:rsidRPr="002B3D88" w:rsidRDefault="00E62F50" w:rsidP="00C7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этап. Подготовительный.</w:t>
            </w:r>
          </w:p>
          <w:p w:rsidR="00E62F50" w:rsidRPr="002B3D88" w:rsidRDefault="00C77AF2" w:rsidP="00C7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Разработка проекта.</w:t>
            </w:r>
          </w:p>
          <w:p w:rsidR="00B66C99" w:rsidRPr="00B66C99" w:rsidRDefault="00B66C99" w:rsidP="00C7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62F50" w:rsidRPr="002B3D88" w:rsidRDefault="00E62F50" w:rsidP="00C7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DBE5F1" w:themeColor="accent1" w:themeTint="33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 этап. Основной.</w:t>
            </w:r>
          </w:p>
          <w:p w:rsidR="00E62F50" w:rsidRPr="002B3D88" w:rsidRDefault="00E62F50" w:rsidP="00C7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Реализация проекта:</w:t>
            </w:r>
          </w:p>
          <w:p w:rsidR="00E62F50" w:rsidRPr="002B3D88" w:rsidRDefault="00E62F50" w:rsidP="00C7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Оснащение помещения необходимым инвентарем, новейшим оборудованием. </w:t>
            </w:r>
            <w:r w:rsidR="00AE349B">
              <w:rPr>
                <w:rFonts w:ascii="Times New Roman" w:hAnsi="Times New Roman" w:cs="Times New Roman"/>
                <w:sz w:val="30"/>
                <w:szCs w:val="30"/>
              </w:rPr>
              <w:t>Комплектование литературой и другими материалами</w:t>
            </w:r>
            <w:r w:rsidR="00AE34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Оборудование зон работы с читателями.</w:t>
            </w:r>
          </w:p>
          <w:p w:rsidR="00E62F50" w:rsidRPr="002B3D88" w:rsidRDefault="00E62F50" w:rsidP="00C7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Реализация комплекса мероприятий проекта:</w:t>
            </w:r>
          </w:p>
          <w:p w:rsidR="00E62F50" w:rsidRPr="002B3D88" w:rsidRDefault="00E62F50" w:rsidP="00C7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Семинары, презентации, тренинги, консультации, конкурсн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ые и </w:t>
            </w:r>
            <w:r w:rsid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образовательные программы.</w:t>
            </w:r>
          </w:p>
          <w:p w:rsidR="00B66C99" w:rsidRPr="00B66C99" w:rsidRDefault="00B66C99" w:rsidP="00F5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7CC1" w:rsidRPr="002B3D88" w:rsidRDefault="00E62F50" w:rsidP="00F5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 этап. Завершение проекта.</w:t>
            </w:r>
            <w:r w:rsidR="00F536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 результатов проекта.</w:t>
            </w:r>
            <w:r w:rsidR="00F536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Составление отчета.</w:t>
            </w:r>
          </w:p>
        </w:tc>
      </w:tr>
      <w:tr w:rsidR="00597B15" w:rsidRPr="002B3D88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C7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Краткое описание гуманитарного проекта:</w:t>
            </w:r>
          </w:p>
          <w:p w:rsidR="005C0896" w:rsidRPr="002B3D88" w:rsidRDefault="005C0896" w:rsidP="00F536D1">
            <w:pPr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условиях информатизации общества значимость решения информационных проблем незрячих еще больше повышается: 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возрастают темпы обнов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ления информации и требования к 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оперативности информационного обмена, возможность активного участия в общественном информационном обмене оказывает все большее влияние на качество жизни индивида. Чтобы в такой ситуации создать лицам с нарушением зрения благоприятные условия и обеспечить их конкурентоспособность в области образовательной или другой интеллектуальной деятельности, необходимо дать им инструмент, обеспечивающий надежный и оперативный обмен информацией с окружающим обществом. Таким инструментом могут и должны служить специализированные компьютерные технологии для слепых и слабовидящих (</w:t>
            </w:r>
            <w:proofErr w:type="spellStart"/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тифлотехнологии</w:t>
            </w:r>
            <w:proofErr w:type="spellEnd"/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).</w:t>
            </w:r>
          </w:p>
          <w:p w:rsidR="00E62F50" w:rsidRPr="002B3D88" w:rsidRDefault="005C0896" w:rsidP="00B66C99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современных условиях одним из важнейших факторов обеспечения социальной адапт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ации и полноценной интеграции в 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общество инвалидов по зрению становится развитие процесса </w:t>
            </w:r>
            <w:proofErr w:type="spellStart"/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тифлокомпьютеризации</w:t>
            </w:r>
            <w:proofErr w:type="spellEnd"/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внедрени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компьютерных технологий, адаптированных </w:t>
            </w:r>
            <w:proofErr w:type="gramStart"/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для</w:t>
            </w:r>
            <w:proofErr w:type="gramEnd"/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незрячих и слабовидящих.</w:t>
            </w:r>
          </w:p>
        </w:tc>
      </w:tr>
      <w:tr w:rsidR="00597B15" w:rsidRPr="002B3D88" w:rsidTr="00016E3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B6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Общий объем финансирования (в долларах США) – </w:t>
            </w:r>
            <w:r w:rsidR="000719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0719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  <w:r w:rsidR="005C0896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597B15" w:rsidRPr="002B3D88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F53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Место реализации проекта (область / район, город): </w:t>
            </w:r>
            <w:r w:rsidR="00F536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Минская</w:t>
            </w:r>
            <w:r w:rsidR="00F536D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обл., </w:t>
            </w:r>
            <w:proofErr w:type="spellStart"/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proofErr w:type="gramEnd"/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олодечно</w:t>
            </w:r>
            <w:proofErr w:type="spellEnd"/>
          </w:p>
        </w:tc>
      </w:tr>
      <w:tr w:rsidR="00597B15" w:rsidRPr="002B3D88" w:rsidTr="00016E3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Контактное лицо (инициалы, фамилия, должность, телефон,</w:t>
            </w:r>
            <w:proofErr w:type="gramEnd"/>
          </w:p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электронной почты)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E62F50" w:rsidRPr="002B3D88" w:rsidRDefault="00AE349B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E34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Стаселович</w:t>
            </w:r>
            <w:proofErr w:type="spellEnd"/>
            <w:r w:rsidRPr="00AE349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Мария Евгеньевна</w:t>
            </w:r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директор государственного</w:t>
            </w:r>
          </w:p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 культуры «Молодечненская центральная районная библиотека имени Максима Богдановича»,</w:t>
            </w:r>
          </w:p>
          <w:p w:rsidR="00E62F50" w:rsidRPr="002B3D88" w:rsidRDefault="00B66C99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222310, Минская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proofErr w:type="gramEnd"/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олодечно</w:t>
            </w:r>
            <w:proofErr w:type="spellEnd"/>
            <w:r w:rsidR="00E62F50"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ул.В</w:t>
            </w:r>
            <w:r w:rsidR="00B66C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Гостинец</w:t>
            </w:r>
            <w:proofErr w:type="spellEnd"/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121В-3, 8(0176)</w:t>
            </w:r>
            <w:r w:rsidR="0020679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53 44 82</w:t>
            </w: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E62F50" w:rsidRPr="002B3D88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e-</w:t>
            </w:r>
            <w:proofErr w:type="spellStart"/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mail</w:t>
            </w:r>
            <w:proofErr w:type="spellEnd"/>
            <w:r w:rsidRPr="002B3D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 </w:t>
            </w:r>
            <w:hyperlink r:id="rId9" w:history="1">
              <w:r w:rsidRPr="002B3D88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molodechno.library@gmail.com</w:t>
              </w:r>
            </w:hyperlink>
          </w:p>
        </w:tc>
      </w:tr>
    </w:tbl>
    <w:p w:rsidR="00C77AF2" w:rsidRPr="00D36375" w:rsidRDefault="00C77AF2" w:rsidP="00C77A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2F50" w:rsidRPr="000E3748" w:rsidRDefault="00F42A79" w:rsidP="00C77A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37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9AC53" wp14:editId="4164D44E">
            <wp:extent cx="1932317" cy="2676454"/>
            <wp:effectExtent l="0" t="0" r="0" b="0"/>
            <wp:docPr id="5" name="Рисунок 5" descr="ÐÐ°ÑÑÐ¸Ð½ÐºÐ¸ Ð¿Ð¾ Ð·Ð°Ð¿ÑÐ¾ÑÑ ÑÐ¸ÑÐ»Ð¾ÑÐµÐ½Ñ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Ð¸ÑÐ»Ð¾ÑÐµÐ½ÑÑ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6"/>
                    <a:stretch/>
                  </pic:blipFill>
                  <pic:spPr bwMode="auto">
                    <a:xfrm>
                      <a:off x="0" y="0"/>
                      <a:ext cx="1942966" cy="269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37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17A3E" wp14:editId="092B886D">
            <wp:extent cx="3546993" cy="2674189"/>
            <wp:effectExtent l="0" t="0" r="0" b="0"/>
            <wp:docPr id="8" name="Рисунок 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74" cy="268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50" w:rsidRPr="00C77AF2" w:rsidRDefault="005C0896" w:rsidP="00D363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70C0"/>
          <w:sz w:val="30"/>
          <w:szCs w:val="30"/>
          <w:lang w:val="en-US" w:eastAsia="ru-RU"/>
        </w:rPr>
      </w:pPr>
      <w:r w:rsidRPr="00C77AF2">
        <w:rPr>
          <w:rFonts w:ascii="Times New Roman" w:eastAsia="Times New Roman" w:hAnsi="Times New Roman" w:cs="Times New Roman"/>
          <w:color w:val="0070C0"/>
          <w:sz w:val="30"/>
          <w:szCs w:val="30"/>
          <w:lang w:val="en-US" w:eastAsia="ru-RU"/>
        </w:rPr>
        <w:lastRenderedPageBreak/>
        <w:t>Socially-oriented project of the state cultural institution "</w:t>
      </w:r>
      <w:proofErr w:type="spellStart"/>
      <w:r w:rsidRPr="00C77AF2">
        <w:rPr>
          <w:rFonts w:ascii="Times New Roman" w:eastAsia="Times New Roman" w:hAnsi="Times New Roman" w:cs="Times New Roman"/>
          <w:color w:val="0070C0"/>
          <w:sz w:val="30"/>
          <w:szCs w:val="30"/>
          <w:lang w:val="en-US" w:eastAsia="ru-RU"/>
        </w:rPr>
        <w:t>Molodechno</w:t>
      </w:r>
      <w:proofErr w:type="spellEnd"/>
      <w:r w:rsidRPr="00C77AF2">
        <w:rPr>
          <w:rFonts w:ascii="Times New Roman" w:eastAsia="Times New Roman" w:hAnsi="Times New Roman" w:cs="Times New Roman"/>
          <w:color w:val="0070C0"/>
          <w:sz w:val="30"/>
          <w:szCs w:val="30"/>
          <w:lang w:val="en-US" w:eastAsia="ru-RU"/>
        </w:rPr>
        <w:t xml:space="preserve"> Central Regional Library named after Maxim </w:t>
      </w:r>
      <w:proofErr w:type="spellStart"/>
      <w:r w:rsidRPr="00C77AF2">
        <w:rPr>
          <w:rFonts w:ascii="Times New Roman" w:eastAsia="Times New Roman" w:hAnsi="Times New Roman" w:cs="Times New Roman"/>
          <w:color w:val="0070C0"/>
          <w:sz w:val="30"/>
          <w:szCs w:val="30"/>
          <w:lang w:val="en-US" w:eastAsia="ru-RU"/>
        </w:rPr>
        <w:t>Bogdanovich</w:t>
      </w:r>
      <w:proofErr w:type="spellEnd"/>
      <w:r w:rsidRPr="00C77AF2">
        <w:rPr>
          <w:rFonts w:ascii="Times New Roman" w:eastAsia="Times New Roman" w:hAnsi="Times New Roman" w:cs="Times New Roman"/>
          <w:color w:val="0070C0"/>
          <w:sz w:val="30"/>
          <w:szCs w:val="30"/>
          <w:lang w:val="en-US" w:eastAsia="ru-RU"/>
        </w:rPr>
        <w:t>" city specialized library - branch 18 of the Minsk region is looking for sponsors</w:t>
      </w:r>
    </w:p>
    <w:p w:rsidR="00E62F50" w:rsidRPr="00C77AF2" w:rsidRDefault="00EC0D34" w:rsidP="00D363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Project name: “New information technologies in ensuring reading f</w:t>
      </w:r>
      <w:r w:rsidR="003C7B39"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or the visually impaired (</w:t>
      </w:r>
      <w:proofErr w:type="spellStart"/>
      <w:r w:rsidR="003C7B39"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typho</w:t>
      </w:r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information</w:t>
      </w:r>
      <w:proofErr w:type="spellEnd"/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center)”</w:t>
      </w:r>
    </w:p>
    <w:p w:rsidR="00EC0D34" w:rsidRDefault="00EC0D34" w:rsidP="00EC0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7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3676" cy="993530"/>
            <wp:effectExtent l="0" t="0" r="0" b="0"/>
            <wp:docPr id="1" name="Рисунок 1" descr="ÐÐ°ÑÑÐ¸Ð½ÐºÐ¸ Ð¿Ð¾ Ð·Ð°Ð¿ÑÐ¾ÑÑ ÑÐ¸ÑÐ»Ð¾ÑÐµÐ½Ñ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Ð¸ÑÐ»Ð¾ÑÐµÐ½ÑÑ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43" b="10959"/>
                    <a:stretch/>
                  </pic:blipFill>
                  <pic:spPr bwMode="auto">
                    <a:xfrm>
                      <a:off x="0" y="0"/>
                      <a:ext cx="1283721" cy="9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0D34" w:rsidRPr="00C77AF2" w:rsidRDefault="00EC0D34" w:rsidP="00E62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State cultural institution "</w:t>
      </w:r>
      <w:proofErr w:type="spellStart"/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Molodechno</w:t>
      </w:r>
      <w:proofErr w:type="spellEnd"/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Central District Library named after Maxim </w:t>
      </w:r>
      <w:proofErr w:type="spellStart"/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Bogdanovich</w:t>
      </w:r>
      <w:proofErr w:type="spellEnd"/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" city specialized library branch №18 of </w:t>
      </w:r>
      <w:r w:rsidR="003228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the Minsk region is looking for</w:t>
      </w:r>
      <w:r w:rsidR="00322869" w:rsidRPr="0032286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sponsors</w:t>
      </w:r>
    </w:p>
    <w:tbl>
      <w:tblPr>
        <w:tblW w:w="10140" w:type="dxa"/>
        <w:tblBorders>
          <w:top w:val="single" w:sz="6" w:space="0" w:color="D0D3D4"/>
          <w:left w:val="single" w:sz="6" w:space="0" w:color="D0D3D4"/>
          <w:bottom w:val="single" w:sz="6" w:space="0" w:color="D0D3D4"/>
          <w:right w:val="single" w:sz="6" w:space="0" w:color="D0D3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9410"/>
      </w:tblGrid>
      <w:tr w:rsidR="00597B15" w:rsidRPr="00B66C99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00609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00609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3C7B39" w:rsidP="000E3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>Project Title: «New information technologies in reading for the visually impaired (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>typhoinformation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color w:val="FFFFFF" w:themeColor="background1"/>
                <w:sz w:val="30"/>
                <w:szCs w:val="30"/>
                <w:lang w:val="en-US" w:eastAsia="ru-RU"/>
              </w:rPr>
              <w:t xml:space="preserve"> center)»</w:t>
            </w:r>
          </w:p>
        </w:tc>
      </w:tr>
      <w:tr w:rsidR="00597B15" w:rsidRPr="00B66C99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5C0896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applicant organization proposing the project: State cultural institution "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Molodechno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Central District Library named after Maxim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Bogdanovich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" city specialized library - branch №18</w:t>
            </w:r>
          </w:p>
        </w:tc>
      </w:tr>
      <w:tr w:rsidR="00597B15" w:rsidRPr="00B66C99" w:rsidTr="00EC0D34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A33A61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Objective of the project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: 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creation of conditions for blind and visually impaired users for education and self-education, satisfaction of their intellectual and spiritual needs, social adaptation in society.</w:t>
            </w:r>
          </w:p>
        </w:tc>
      </w:tr>
      <w:tr w:rsidR="00597B15" w:rsidRPr="00B66C99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ProjectObjectives</w:t>
            </w:r>
            <w:proofErr w:type="spellEnd"/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Acquisition of library funds with 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possibility of their use by</w:t>
            </w:r>
            <w:r w:rsidR="00322869" w:rsidRP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people with disabilities;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Creation of special conditions for the 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satisfaction and development of</w:t>
            </w:r>
            <w:r w:rsidR="00322869" w:rsidRP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their spiritual and cognitive needs of this group of society, promoting the development of their creative abilities and intellectual potential;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Expansion of the circle of communication of people with disabilities, providing them with equal opportunities for active participation in the socio-cultural life of society;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involvement of persons with disabilities in cultural and leisure activities, the organization of their leisure time;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Attracting the attention of the urb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an community to the problems of</w:t>
            </w:r>
            <w:r w:rsidR="00322869" w:rsidRP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people with disabilities (including specialists in the cultural and applied spheres, students in schools, secondary schools). provide visually impaired and blind people with the opportunity o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f</w:t>
            </w:r>
            <w:r w:rsidR="00322869" w:rsidRP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independent reading and access to information,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provide information to the visually impaired in an accessible form,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 xml:space="preserve">prepare personnel to work with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typhlotechnics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,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individually train blind and visually impaired users to work independently with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typhlotechnics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,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to contribute to the strengthening of the material and technical base of the library with modern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typhlotechnical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equipment,</w:t>
            </w:r>
          </w:p>
          <w:p w:rsidR="00E62F50" w:rsidRPr="00C77AF2" w:rsidRDefault="005C0896" w:rsidP="005C08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proofErr w:type="gram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promote</w:t>
            </w:r>
            <w:proofErr w:type="gram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the development of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yphotherapy</w:t>
            </w:r>
            <w:proofErr w:type="spellEnd"/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in the interests of</w:t>
            </w:r>
            <w:r w:rsidR="00322869" w:rsidRP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integrating people with visual impairments into modern society.</w:t>
            </w:r>
          </w:p>
        </w:tc>
      </w:tr>
      <w:tr w:rsidR="00597B15" w:rsidRPr="00B66C99" w:rsidTr="00EC0D34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Target group: visually impaired and blind people in the city and district.</w:t>
            </w:r>
          </w:p>
        </w:tc>
      </w:tr>
      <w:tr w:rsidR="00597B15" w:rsidRPr="000E3748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32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Project implementation period: 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3 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years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.</w:t>
            </w:r>
          </w:p>
        </w:tc>
      </w:tr>
      <w:tr w:rsidR="00597B15" w:rsidRPr="000E3748" w:rsidTr="00EC0D34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Stages of implementation.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Stage 1. Preparatory.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Project development.</w:t>
            </w:r>
          </w:p>
          <w:p w:rsidR="005C0896" w:rsidRPr="00322869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Stage 2 Main.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Project implementation: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Equipping the premises with the necessary equipment, the latest equipment.</w:t>
            </w:r>
            <w:r w:rsidR="00AE349B" w:rsidRPr="00AE349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Acquisition of literature and other materials. 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Equipment zones work with readers.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Implementation of a set of project activities: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Seminars, presentations, trainings, consultations, competitive and educational programs.</w:t>
            </w:r>
          </w:p>
          <w:p w:rsidR="005C0896" w:rsidRPr="00322869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 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Stage 3 Completion of the project.</w:t>
            </w:r>
          </w:p>
          <w:p w:rsidR="005C0896" w:rsidRPr="00C77AF2" w:rsidRDefault="005C0896" w:rsidP="005C0896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Analysis of project results.</w:t>
            </w:r>
          </w:p>
          <w:p w:rsidR="00E62F50" w:rsidRPr="00C77AF2" w:rsidRDefault="005C0896" w:rsidP="005C08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Compilation of a report.</w:t>
            </w:r>
          </w:p>
        </w:tc>
      </w:tr>
      <w:tr w:rsidR="00597B15" w:rsidRPr="00B66C99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Brief description of the humanitarian project:</w:t>
            </w:r>
          </w:p>
          <w:p w:rsidR="005C0896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Under the conditions of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informatization</w:t>
            </w:r>
            <w:proofErr w:type="spellEnd"/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of society, the importance of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solving informational problems of the blind increases even more: the pace of updating information and the requirements for speed of information exchange increase, the possibility of active participation in public information exchange is having an increas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ing influence on the quality of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life of an individual. In such a situation, to create a favorable environment for persons with visual impairment and to ensure their competitiveness in the field of educational or other intellect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ual activity, it is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necessary to give them a tool that ensures reliable and prompt exchange of information with the surrounding society. Such a tool can and should be served by specialized computer technologies for the blind and visually impaired (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typhlotechnologies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).</w:t>
            </w:r>
          </w:p>
          <w:p w:rsidR="00E62F50" w:rsidRPr="00C77AF2" w:rsidRDefault="005C0896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In modern conditions, one of the most important factors for ensuring social adaptation and full integration into the soci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ety of the visually impaired is 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the development of the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tiflokompeterization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process — the introduction of computer technologies adapted for the blind and visually impaired.</w:t>
            </w:r>
          </w:p>
        </w:tc>
      </w:tr>
      <w:tr w:rsidR="00597B15" w:rsidRPr="00B66C99" w:rsidTr="00EC0D34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322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The total volume of financing (in US dollars) </w:t>
            </w:r>
            <w:r w:rsidR="005C0896"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–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 w:rsidR="00071984" w:rsidRPr="0007198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74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 w:rsidR="00071984" w:rsidRPr="0020679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14</w:t>
            </w:r>
            <w:r w:rsidR="005C0896"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0</w:t>
            </w:r>
          </w:p>
        </w:tc>
      </w:tr>
      <w:tr w:rsidR="00597B15" w:rsidRPr="00B66C99" w:rsidTr="00F42A79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5C0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Project location (area / region, city): Minsk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reg.,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Molodechno</w:t>
            </w:r>
            <w:proofErr w:type="spellEnd"/>
          </w:p>
        </w:tc>
      </w:tr>
      <w:tr w:rsidR="00597B15" w:rsidRPr="00B66C99" w:rsidTr="00EC0D34">
        <w:tc>
          <w:tcPr>
            <w:tcW w:w="585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8700" w:type="dxa"/>
            <w:tcBorders>
              <w:top w:val="single" w:sz="6" w:space="0" w:color="D0D3D4"/>
              <w:left w:val="single" w:sz="6" w:space="0" w:color="D0D3D4"/>
              <w:bottom w:val="single" w:sz="6" w:space="0" w:color="D0D3D4"/>
              <w:right w:val="single" w:sz="6" w:space="0" w:color="D0D3D4"/>
            </w:tcBorders>
            <w:shd w:val="clear" w:color="auto" w:fill="DBE5F1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Contact name (initials, surname, position, phone,</w:t>
            </w:r>
          </w:p>
          <w:p w:rsidR="00E62F50" w:rsidRPr="00322869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e-mail address)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  <w:p w:rsidR="00E62F50" w:rsidRPr="00C77AF2" w:rsidRDefault="00AE349B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proofErr w:type="spellStart"/>
            <w:r w:rsidRPr="00AE349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Staselovich</w:t>
            </w:r>
            <w:proofErr w:type="spellEnd"/>
            <w:r w:rsidRPr="00AE349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Maria </w:t>
            </w:r>
            <w:proofErr w:type="spellStart"/>
            <w:r w:rsidRPr="00AE349B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Eugenjevna</w:t>
            </w:r>
            <w:proofErr w:type="spellEnd"/>
            <w:r w:rsidR="00E62F50"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, Director of public</w:t>
            </w:r>
          </w:p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cultural institutions "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Molodechno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Central District Library named after Maxim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Bogdanovich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"</w:t>
            </w:r>
          </w:p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222310, Minsk region., </w:t>
            </w:r>
            <w:proofErr w:type="spellStart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G.Molodechno</w:t>
            </w:r>
            <w:proofErr w:type="spellEnd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,</w:t>
            </w:r>
          </w:p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Str. B. </w:t>
            </w:r>
            <w:r w:rsidR="0032286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F</w:t>
            </w:r>
            <w:bookmarkStart w:id="0" w:name="_GoBack"/>
            <w:bookmarkEnd w:id="0"/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airing, 121B-3, 8 (0176) </w:t>
            </w:r>
            <w:r w:rsidR="00206799" w:rsidRPr="0020679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53</w:t>
            </w:r>
            <w:r w:rsidR="00206799" w:rsidRPr="00F536D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44 82</w:t>
            </w: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,</w:t>
            </w:r>
          </w:p>
          <w:p w:rsidR="00E62F50" w:rsidRPr="00C77AF2" w:rsidRDefault="00E62F50" w:rsidP="00F4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77AF2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e-mail: </w:t>
            </w:r>
            <w:hyperlink r:id="rId12" w:history="1">
              <w:r w:rsidRPr="00C77AF2">
                <w:rPr>
                  <w:rFonts w:ascii="Times New Roman" w:eastAsia="Times New Roman" w:hAnsi="Times New Roman" w:cs="Times New Roman"/>
                  <w:sz w:val="30"/>
                  <w:szCs w:val="30"/>
                  <w:lang w:val="en-US" w:eastAsia="ru-RU"/>
                </w:rPr>
                <w:t>molodechno.library@gmail.com</w:t>
              </w:r>
            </w:hyperlink>
          </w:p>
        </w:tc>
      </w:tr>
    </w:tbl>
    <w:p w:rsidR="000E3748" w:rsidRPr="003C7B39" w:rsidRDefault="000E3748" w:rsidP="00E62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76B18" w:rsidRDefault="00776B18" w:rsidP="00776B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3246" cy="3579962"/>
            <wp:effectExtent l="0" t="0" r="0" b="0"/>
            <wp:docPr id="2" name="Рисунок 2" descr="C:\Users\user\Desktop\11111111111111111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111111111111111111111111111111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7" t="62803" r="64595" b="5017"/>
                    <a:stretch/>
                  </pic:blipFill>
                  <pic:spPr bwMode="auto">
                    <a:xfrm>
                      <a:off x="0" y="0"/>
                      <a:ext cx="3434409" cy="359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B18" w:rsidRPr="00776B18" w:rsidRDefault="00776B18" w:rsidP="00E62F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F50" w:rsidRPr="00C77AF2" w:rsidRDefault="00E62F50" w:rsidP="00F536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C77A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We will be glad to cooperate!</w:t>
      </w:r>
    </w:p>
    <w:p w:rsidR="00EC0D34" w:rsidRPr="00776B18" w:rsidRDefault="00EC0D34" w:rsidP="00EC0D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EC0D34" w:rsidRPr="00776B18" w:rsidSect="00B66C99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B99"/>
    <w:multiLevelType w:val="hybridMultilevel"/>
    <w:tmpl w:val="37925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8E41A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25F6"/>
    <w:multiLevelType w:val="hybridMultilevel"/>
    <w:tmpl w:val="F71E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D48"/>
    <w:multiLevelType w:val="hybridMultilevel"/>
    <w:tmpl w:val="02EC8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4372"/>
    <w:multiLevelType w:val="hybridMultilevel"/>
    <w:tmpl w:val="7A688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20214"/>
    <w:multiLevelType w:val="multilevel"/>
    <w:tmpl w:val="C2CE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B0D14"/>
    <w:multiLevelType w:val="multilevel"/>
    <w:tmpl w:val="B4D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C34AC"/>
    <w:multiLevelType w:val="hybridMultilevel"/>
    <w:tmpl w:val="EDEC0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6264F7"/>
    <w:multiLevelType w:val="multilevel"/>
    <w:tmpl w:val="4B5A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66AB3"/>
    <w:multiLevelType w:val="hybridMultilevel"/>
    <w:tmpl w:val="9BAC8490"/>
    <w:lvl w:ilvl="0" w:tplc="08A852AA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F50"/>
    <w:rsid w:val="00016E39"/>
    <w:rsid w:val="00071984"/>
    <w:rsid w:val="000D25D5"/>
    <w:rsid w:val="000E3748"/>
    <w:rsid w:val="001A721E"/>
    <w:rsid w:val="00206799"/>
    <w:rsid w:val="00250C96"/>
    <w:rsid w:val="002B3D88"/>
    <w:rsid w:val="002E6693"/>
    <w:rsid w:val="00322869"/>
    <w:rsid w:val="003A0854"/>
    <w:rsid w:val="003C0236"/>
    <w:rsid w:val="003C7B39"/>
    <w:rsid w:val="00597B15"/>
    <w:rsid w:val="005C0896"/>
    <w:rsid w:val="005D0C6A"/>
    <w:rsid w:val="00634B96"/>
    <w:rsid w:val="0071136D"/>
    <w:rsid w:val="00776B18"/>
    <w:rsid w:val="008643D1"/>
    <w:rsid w:val="009B5858"/>
    <w:rsid w:val="00A22382"/>
    <w:rsid w:val="00A33A61"/>
    <w:rsid w:val="00AE349B"/>
    <w:rsid w:val="00AF6D69"/>
    <w:rsid w:val="00B66C99"/>
    <w:rsid w:val="00B77CC1"/>
    <w:rsid w:val="00C77AF2"/>
    <w:rsid w:val="00CB260A"/>
    <w:rsid w:val="00D36375"/>
    <w:rsid w:val="00E62F50"/>
    <w:rsid w:val="00EC0D34"/>
    <w:rsid w:val="00F42A79"/>
    <w:rsid w:val="00F5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F50"/>
    <w:rPr>
      <w:b/>
      <w:bCs/>
    </w:rPr>
  </w:style>
  <w:style w:type="paragraph" w:customStyle="1" w:styleId="rtejustify">
    <w:name w:val="rtejustify"/>
    <w:basedOn w:val="a"/>
    <w:rsid w:val="00E6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2F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F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0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F50"/>
    <w:rPr>
      <w:b/>
      <w:bCs/>
    </w:rPr>
  </w:style>
  <w:style w:type="paragraph" w:customStyle="1" w:styleId="rtejustify">
    <w:name w:val="rtejustify"/>
    <w:basedOn w:val="a"/>
    <w:rsid w:val="00E6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62F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F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0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molodechno.libra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molodechno.library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ED8C-3512-4B58-B90E-93051B93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2021-08-13T12:47:00Z</dcterms:created>
  <dcterms:modified xsi:type="dcterms:W3CDTF">2021-11-29T10:40:00Z</dcterms:modified>
</cp:coreProperties>
</file>