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BA" w:rsidRPr="00AC6985" w:rsidRDefault="00413ABA" w:rsidP="00741FED">
      <w:pPr>
        <w:contextualSpacing/>
        <w:jc w:val="both"/>
        <w:rPr>
          <w:rFonts w:asciiTheme="majorBidi" w:hAnsiTheme="majorBidi" w:cstheme="majorBidi"/>
          <w:sz w:val="30"/>
          <w:szCs w:val="30"/>
          <w:lang w:val="en-US"/>
        </w:rPr>
      </w:pPr>
      <w:bookmarkStart w:id="0" w:name="_GoBack"/>
      <w:bookmarkEnd w:id="0"/>
      <w:r w:rsidRPr="00B037E2">
        <w:rPr>
          <w:rFonts w:asciiTheme="majorBidi" w:hAnsiTheme="majorBidi" w:cstheme="majorBidi"/>
          <w:b/>
          <w:bCs/>
          <w:sz w:val="28"/>
          <w:szCs w:val="28"/>
          <w:lang w:val="en-US"/>
        </w:rPr>
        <w:t>Belarusian Universal Commodity Exchange (BUCE)</w:t>
      </w:r>
      <w:r w:rsidRPr="00B037E2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B037E2">
        <w:rPr>
          <w:rFonts w:asciiTheme="majorBidi" w:eastAsiaTheme="minorHAnsi" w:hAnsiTheme="majorBidi" w:cstheme="majorBidi"/>
          <w:sz w:val="28"/>
          <w:szCs w:val="28"/>
          <w:lang w:val="en-US" w:eastAsia="en-US"/>
        </w:rPr>
        <w:t xml:space="preserve">is the only commodity exchange </w:t>
      </w:r>
      <w:r w:rsidRPr="00AC6985">
        <w:rPr>
          <w:rFonts w:asciiTheme="majorBidi" w:eastAsiaTheme="minorHAnsi" w:hAnsiTheme="majorBidi" w:cstheme="majorBidi"/>
          <w:sz w:val="30"/>
          <w:szCs w:val="30"/>
          <w:lang w:val="en-US" w:eastAsia="en-US"/>
        </w:rPr>
        <w:t xml:space="preserve">in the Republic of Belarus and one of the largest spot exchanges in Eastern Europe.  BUCE’s main function 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is assisting Belarusian companies with sales of their products in foreign markets and helping foreign companies to access the Belarusian market. </w:t>
      </w:r>
    </w:p>
    <w:p w:rsidR="00741FED" w:rsidRDefault="00741FED" w:rsidP="00741FED">
      <w:pPr>
        <w:contextualSpacing/>
        <w:jc w:val="both"/>
        <w:rPr>
          <w:rFonts w:asciiTheme="majorBidi" w:hAnsiTheme="majorBidi" w:cstheme="majorBidi"/>
          <w:sz w:val="30"/>
          <w:szCs w:val="30"/>
        </w:rPr>
      </w:pPr>
    </w:p>
    <w:p w:rsidR="00AC6985" w:rsidRDefault="00AC6985" w:rsidP="00741FED">
      <w:pPr>
        <w:contextualSpacing/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</w:rPr>
        <w:drawing>
          <wp:inline distT="0" distB="0" distL="0" distR="0">
            <wp:extent cx="5940425" cy="3345860"/>
            <wp:effectExtent l="0" t="0" r="3175" b="6985"/>
            <wp:docPr id="1" name="Рисунок 1" descr="S:\About_BUTB\презентация БАЗОВАЯ В ЧЕРНОМ\ENG = английская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bout_BUTB\презентация БАЗОВАЯ В ЧЕРНОМ\ENG = английская\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85" w:rsidRPr="00AC6985" w:rsidRDefault="00AC6985" w:rsidP="00741FED">
      <w:pPr>
        <w:contextualSpacing/>
        <w:jc w:val="both"/>
        <w:rPr>
          <w:rFonts w:asciiTheme="majorBidi" w:hAnsiTheme="majorBidi" w:cstheme="majorBidi"/>
          <w:sz w:val="30"/>
          <w:szCs w:val="30"/>
        </w:rPr>
      </w:pPr>
    </w:p>
    <w:p w:rsidR="00413ABA" w:rsidRPr="00AC6985" w:rsidRDefault="00CD6817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 w:bidi="ar-EG"/>
        </w:rPr>
        <w:t xml:space="preserve">Founded in 2004 </w:t>
      </w:r>
      <w:r w:rsidR="00413ABA" w:rsidRPr="00AC6985">
        <w:rPr>
          <w:rFonts w:asciiTheme="majorBidi" w:hAnsiTheme="majorBidi" w:cstheme="majorBidi"/>
          <w:sz w:val="30"/>
          <w:szCs w:val="30"/>
          <w:lang w:val="en-US"/>
        </w:rPr>
        <w:t>BUCE is primarily focused on the spot market – that is when commodities are traded with an expectation of actual delivery, as opposed to a commodity future market when purchased goo</w:t>
      </w:r>
      <w:r w:rsidR="00AC6985">
        <w:rPr>
          <w:rFonts w:asciiTheme="majorBidi" w:hAnsiTheme="majorBidi" w:cstheme="majorBidi"/>
          <w:sz w:val="30"/>
          <w:szCs w:val="30"/>
          <w:lang w:val="en-US"/>
        </w:rPr>
        <w:t>ds are usually not delivered.</w:t>
      </w: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</w:rPr>
        <w:drawing>
          <wp:inline distT="0" distB="0" distL="0" distR="0">
            <wp:extent cx="5924634" cy="3028208"/>
            <wp:effectExtent l="0" t="0" r="0" b="1270"/>
            <wp:docPr id="5" name="Рисунок 5" descr="S:\MARKETING\_ВЭД++++++++++++++++++++++++++\Командировки\2016\04.2016 Чехия (Саликов, Попудренко, Торчик)\Презентация для Чехии\Eng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MARKETING\_ВЭД++++++++++++++++++++++++++\Командировки\2016\04.2016 Чехия (Саликов, Попудренко, Торчик)\Презентация для Чехии\Eng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85" w:rsidRP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413ABA" w:rsidRPr="00AC6985" w:rsidRDefault="00413ABA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lastRenderedPageBreak/>
        <w:t xml:space="preserve">All trading sessions are held by electronic means via Internet, which enables a sustainable growth of exchange turnover, a steady inflow of clients and gradual expansion of the client geography.  </w:t>
      </w:r>
    </w:p>
    <w:p w:rsidR="00741FED" w:rsidRPr="00AC6985" w:rsidRDefault="00741FED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FA3486" w:rsidRPr="00AC6985" w:rsidRDefault="00FA3486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>Structure-wise BUCE is subdivided into the following sections:</w:t>
      </w:r>
    </w:p>
    <w:p w:rsidR="00741FED" w:rsidRPr="00AC6985" w:rsidRDefault="00741FED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p w:rsidR="00B037E2" w:rsidRPr="00AC6985" w:rsidRDefault="00CA0672" w:rsidP="0023120F">
      <w:pPr>
        <w:pStyle w:val="a4"/>
        <w:numPr>
          <w:ilvl w:val="0"/>
          <w:numId w:val="2"/>
        </w:numPr>
        <w:spacing w:line="228" w:lineRule="auto"/>
        <w:ind w:left="567" w:firstLine="502"/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>Metal products.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 Ferrous metals (over 400 thousand tons a year, 20% of the entire national market), </w:t>
      </w: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 xml:space="preserve">non-ferrous metals 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(about 20 thousand tons), </w:t>
      </w: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>coal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(about 40 thousand tons), coke (in excess of 20 thousand tons), electrical products. </w:t>
      </w:r>
    </w:p>
    <w:p w:rsidR="00B037E2" w:rsidRPr="00AC6985" w:rsidRDefault="00CA0672" w:rsidP="0023120F">
      <w:pPr>
        <w:pStyle w:val="a4"/>
        <w:numPr>
          <w:ilvl w:val="0"/>
          <w:numId w:val="2"/>
        </w:numPr>
        <w:spacing w:line="228" w:lineRule="auto"/>
        <w:ind w:left="567" w:firstLine="502"/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>Agricultural products.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Casein, milk powder, butter, cheese, cottage cheese, butter and canola rapeseed, flour, cereals, hides of cattle, cattle meat and pork, sugar, and salt. </w:t>
      </w:r>
    </w:p>
    <w:p w:rsidR="00B037E2" w:rsidRPr="00AC6985" w:rsidRDefault="00CA0672" w:rsidP="0023120F">
      <w:pPr>
        <w:pStyle w:val="a4"/>
        <w:numPr>
          <w:ilvl w:val="0"/>
          <w:numId w:val="2"/>
        </w:numPr>
        <w:spacing w:line="228" w:lineRule="auto"/>
        <w:ind w:left="567" w:firstLine="502"/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>Timber.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Pulp wood, saw-timber, plywood, chipboard, </w:t>
      </w:r>
      <w:r w:rsidR="00162D36" w:rsidRPr="00AC6985">
        <w:rPr>
          <w:rFonts w:asciiTheme="majorBidi" w:hAnsiTheme="majorBidi" w:cstheme="majorBidi"/>
          <w:sz w:val="30"/>
          <w:szCs w:val="30"/>
          <w:lang w:val="en-US"/>
        </w:rPr>
        <w:t>fiberboard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>, and paper.</w:t>
      </w:r>
    </w:p>
    <w:p w:rsidR="00CA0672" w:rsidRPr="00AC6985" w:rsidRDefault="00CA0672" w:rsidP="00995164">
      <w:pPr>
        <w:pStyle w:val="a4"/>
        <w:numPr>
          <w:ilvl w:val="0"/>
          <w:numId w:val="2"/>
        </w:numPr>
        <w:spacing w:line="228" w:lineRule="auto"/>
        <w:ind w:left="567" w:firstLine="502"/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sz w:val="30"/>
          <w:szCs w:val="30"/>
          <w:lang w:val="en-US"/>
        </w:rPr>
        <w:t xml:space="preserve">Industrial and consumer goods. </w:t>
      </w:r>
      <w:r w:rsidR="00995164" w:rsidRPr="00AC6985">
        <w:rPr>
          <w:rFonts w:asciiTheme="majorBidi" w:hAnsiTheme="majorBidi" w:cstheme="majorBidi"/>
          <w:sz w:val="30"/>
          <w:szCs w:val="30"/>
          <w:lang w:val="en-US"/>
        </w:rPr>
        <w:t>The electronic subsystem of auctions with industrial and consumer goods works on-line around the clock and allows to sell and buy goods of the widest range from anywhere in the world where there is the Internet, both with the help of a special purpose software or an interface of an Internet browser. A distinctive feature of this trading subsystem is a possibility to place additional textual and graphical information about the product in the application.</w:t>
      </w: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</w:rPr>
        <w:drawing>
          <wp:inline distT="0" distB="0" distL="0" distR="0">
            <wp:extent cx="5940425" cy="3345860"/>
            <wp:effectExtent l="0" t="0" r="3175" b="6985"/>
            <wp:docPr id="2" name="Рисунок 2" descr="S:\About_BUTB\презентация БАЗОВАЯ В ЧЕРНОМ\ENG = английская\2015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bout_BUTB\презентация БАЗОВАЯ В ЧЕРНОМ\ENG = английская\2015\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FA3486" w:rsidRPr="00AC6985" w:rsidRDefault="00FA3486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The list of commodities eligible for trading at the exchange encompasses some 3000 commodity items.  </w:t>
      </w:r>
    </w:p>
    <w:p w:rsidR="00741FED" w:rsidRPr="00AC6985" w:rsidRDefault="00741FED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p w:rsidR="0007538C" w:rsidRPr="00AC6985" w:rsidRDefault="00097B0B" w:rsidP="00741FED">
      <w:pPr>
        <w:jc w:val="both"/>
        <w:rPr>
          <w:rFonts w:asciiTheme="majorBidi" w:hAnsiTheme="majorBidi" w:cstheme="majorBidi"/>
          <w:b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>BUCE offers logistics services and has</w:t>
      </w:r>
      <w:r w:rsidR="0007538C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a wide network of the exchange warehouses. </w:t>
      </w:r>
      <w:r w:rsidR="0035327B" w:rsidRPr="00AC6985">
        <w:rPr>
          <w:rFonts w:asciiTheme="majorBidi" w:hAnsiTheme="majorBidi" w:cstheme="majorBidi"/>
          <w:sz w:val="30"/>
          <w:szCs w:val="30"/>
          <w:lang w:val="en-US"/>
        </w:rPr>
        <w:t>Thanks to such warehouses any product purchased via the exchange can be collected by the buyer either in</w:t>
      </w:r>
      <w:r w:rsidR="00D65CB3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his own country or </w:t>
      </w:r>
      <w:r w:rsidR="00FF009E" w:rsidRPr="00AC6985">
        <w:rPr>
          <w:rFonts w:asciiTheme="majorBidi" w:hAnsiTheme="majorBidi" w:cstheme="majorBidi"/>
          <w:sz w:val="30"/>
          <w:szCs w:val="30"/>
          <w:lang w:val="en-US"/>
        </w:rPr>
        <w:t>as closely as possible to the desired location</w:t>
      </w:r>
      <w:r w:rsidR="0007538C" w:rsidRPr="00AC6985">
        <w:rPr>
          <w:rFonts w:asciiTheme="majorBidi" w:hAnsiTheme="majorBidi" w:cstheme="majorBidi"/>
          <w:sz w:val="30"/>
          <w:szCs w:val="30"/>
          <w:lang w:val="en-US"/>
        </w:rPr>
        <w:t>.</w:t>
      </w:r>
      <w:r w:rsidR="001743DE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As of yet,</w:t>
      </w:r>
      <w:r w:rsidR="0007538C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foreign exchange warehouses are registered in </w:t>
      </w:r>
      <w:r w:rsidR="0007538C" w:rsidRPr="00AC6985">
        <w:rPr>
          <w:rFonts w:asciiTheme="majorBidi" w:hAnsiTheme="majorBidi" w:cstheme="majorBidi"/>
          <w:bCs/>
          <w:sz w:val="30"/>
          <w:szCs w:val="30"/>
          <w:lang w:val="en-US"/>
        </w:rPr>
        <w:t xml:space="preserve">Russia, Kazakhstan, </w:t>
      </w:r>
      <w:r w:rsidR="001743DE" w:rsidRPr="00AC6985">
        <w:rPr>
          <w:rFonts w:asciiTheme="majorBidi" w:hAnsiTheme="majorBidi" w:cstheme="majorBidi"/>
          <w:bCs/>
          <w:sz w:val="30"/>
          <w:szCs w:val="30"/>
          <w:lang w:val="en-US"/>
        </w:rPr>
        <w:t xml:space="preserve">Ukraine, </w:t>
      </w:r>
      <w:r w:rsidR="0007538C" w:rsidRPr="00AC6985">
        <w:rPr>
          <w:rFonts w:asciiTheme="majorBidi" w:hAnsiTheme="majorBidi" w:cstheme="majorBidi"/>
          <w:bCs/>
          <w:sz w:val="30"/>
          <w:szCs w:val="30"/>
          <w:lang w:val="en-US"/>
        </w:rPr>
        <w:t>Poland, Latvia, Lithuania, Estonia, Bulgaria</w:t>
      </w:r>
      <w:r w:rsidR="001743DE" w:rsidRPr="00AC6985">
        <w:rPr>
          <w:rFonts w:asciiTheme="majorBidi" w:hAnsiTheme="majorBidi" w:cstheme="majorBidi"/>
          <w:bCs/>
          <w:sz w:val="30"/>
          <w:szCs w:val="30"/>
          <w:lang w:val="en-US"/>
        </w:rPr>
        <w:t>, Belgium,</w:t>
      </w:r>
      <w:r w:rsidR="0007538C" w:rsidRPr="00AC6985">
        <w:rPr>
          <w:rFonts w:asciiTheme="majorBidi" w:hAnsiTheme="majorBidi" w:cstheme="majorBidi"/>
          <w:bCs/>
          <w:sz w:val="30"/>
          <w:szCs w:val="30"/>
          <w:lang w:val="en-US"/>
        </w:rPr>
        <w:t xml:space="preserve"> and Germany</w:t>
      </w:r>
      <w:r w:rsidR="001743DE" w:rsidRPr="00AC6985">
        <w:rPr>
          <w:rFonts w:asciiTheme="majorBidi" w:hAnsiTheme="majorBidi" w:cstheme="majorBidi"/>
          <w:b/>
          <w:sz w:val="30"/>
          <w:szCs w:val="30"/>
          <w:lang w:val="en-US"/>
        </w:rPr>
        <w:t>.</w:t>
      </w:r>
    </w:p>
    <w:p w:rsidR="00741FED" w:rsidRPr="00AC6985" w:rsidRDefault="00741FED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p w:rsidR="00413ABA" w:rsidRPr="00AC6985" w:rsidRDefault="00413ABA" w:rsidP="00A60E99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BUCE has </w:t>
      </w:r>
      <w:r w:rsidR="00A60E99" w:rsidRPr="00AC6985">
        <w:rPr>
          <w:rFonts w:asciiTheme="majorBidi" w:hAnsiTheme="majorBidi" w:cstheme="majorBidi"/>
          <w:sz w:val="30"/>
          <w:szCs w:val="30"/>
          <w:lang w:val="en-US"/>
        </w:rPr>
        <w:t>branches in all regional centers of the Republic of Belarus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r w:rsidR="00A60E99" w:rsidRPr="00AC6985">
        <w:rPr>
          <w:rFonts w:asciiTheme="majorBidi" w:hAnsiTheme="majorBidi" w:cstheme="majorBidi"/>
          <w:sz w:val="30"/>
          <w:szCs w:val="30"/>
          <w:lang w:val="en-US"/>
        </w:rPr>
        <w:t xml:space="preserve">and 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>offices in Russia, Lithuania and Latvia.</w:t>
      </w:r>
    </w:p>
    <w:p w:rsidR="00162D36" w:rsidRPr="00AC6985" w:rsidRDefault="00162D36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p w:rsidR="00162D36" w:rsidRPr="00AC6985" w:rsidRDefault="00D77111" w:rsidP="008B4AB4">
      <w:pPr>
        <w:contextualSpacing/>
        <w:jc w:val="both"/>
        <w:rPr>
          <w:sz w:val="30"/>
          <w:szCs w:val="30"/>
          <w:lang w:val="en-US"/>
        </w:rPr>
      </w:pPr>
      <w:r w:rsidRPr="00AC6985">
        <w:rPr>
          <w:sz w:val="30"/>
          <w:szCs w:val="30"/>
          <w:lang w:val="en-US" w:bidi="ar-EG"/>
        </w:rPr>
        <w:t xml:space="preserve">BUCE is one of two operators of electronic trading platforms (ETP) for electronic auctions </w:t>
      </w:r>
      <w:r w:rsidR="00BC539A" w:rsidRPr="00AC6985">
        <w:rPr>
          <w:sz w:val="30"/>
          <w:szCs w:val="30"/>
          <w:lang w:val="en-US" w:bidi="ar-EG"/>
        </w:rPr>
        <w:t xml:space="preserve">under government procurement contracts. </w:t>
      </w:r>
      <w:r w:rsidR="00BC539A" w:rsidRPr="00AC6985">
        <w:rPr>
          <w:sz w:val="30"/>
          <w:szCs w:val="30"/>
          <w:lang w:val="en-US"/>
        </w:rPr>
        <w:t xml:space="preserve">Foreign companies that have an electronic digital signature (EDS) </w:t>
      </w:r>
      <w:r w:rsidR="00B63B84" w:rsidRPr="00AC6985">
        <w:rPr>
          <w:sz w:val="30"/>
          <w:szCs w:val="30"/>
          <w:lang w:val="en-US"/>
        </w:rPr>
        <w:t>issued by</w:t>
      </w:r>
      <w:r w:rsidR="00BC539A" w:rsidRPr="00AC6985">
        <w:rPr>
          <w:sz w:val="30"/>
          <w:szCs w:val="30"/>
          <w:lang w:val="en-US"/>
        </w:rPr>
        <w:t xml:space="preserve"> BUCE Certifying Authority </w:t>
      </w:r>
      <w:r w:rsidR="00BF1254" w:rsidRPr="00AC6985">
        <w:rPr>
          <w:sz w:val="30"/>
          <w:szCs w:val="30"/>
          <w:lang w:val="en-US"/>
        </w:rPr>
        <w:t>can participate in government procurement</w:t>
      </w:r>
      <w:r w:rsidR="00B63B84" w:rsidRPr="00AC6985">
        <w:rPr>
          <w:sz w:val="30"/>
          <w:szCs w:val="30"/>
          <w:lang w:val="en-US"/>
        </w:rPr>
        <w:t>s</w:t>
      </w:r>
      <w:r w:rsidR="00BF1254" w:rsidRPr="00AC6985">
        <w:rPr>
          <w:sz w:val="30"/>
          <w:szCs w:val="30"/>
          <w:lang w:val="en-US"/>
        </w:rPr>
        <w:t xml:space="preserve"> in the Republic of Belarus on the same terms as domestic companies.</w:t>
      </w:r>
    </w:p>
    <w:p w:rsidR="00741FED" w:rsidRDefault="00741FED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</w:rPr>
        <w:drawing>
          <wp:inline distT="0" distB="0" distL="0" distR="0">
            <wp:extent cx="5940425" cy="3345107"/>
            <wp:effectExtent l="0" t="0" r="3175" b="8255"/>
            <wp:docPr id="3" name="Рисунок 3" descr="S:\About_BUTB\презентация БАЗОВАЯ В ЧЕРНОМ\ENG = английская\2015\13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About_BUTB\презентация БАЗОВАЯ В ЧЕРНОМ\ENG = английская\2015\13g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85" w:rsidRPr="00AC6985" w:rsidRDefault="00AC6985" w:rsidP="00741FED">
      <w:pPr>
        <w:jc w:val="both"/>
        <w:rPr>
          <w:rFonts w:asciiTheme="majorBidi" w:hAnsiTheme="majorBidi" w:cstheme="majorBidi"/>
          <w:sz w:val="30"/>
          <w:szCs w:val="30"/>
        </w:rPr>
      </w:pPr>
    </w:p>
    <w:p w:rsidR="00741FED" w:rsidRPr="00AC6985" w:rsidRDefault="00413ABA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BUCE is a full-fledged member of </w:t>
      </w:r>
      <w:r w:rsidR="0047263F" w:rsidRPr="00AC6985">
        <w:rPr>
          <w:rFonts w:asciiTheme="majorBidi" w:hAnsiTheme="majorBidi" w:cstheme="majorBidi"/>
          <w:sz w:val="30"/>
          <w:szCs w:val="30"/>
          <w:lang w:val="en-US"/>
        </w:rPr>
        <w:t>the following international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organizations:</w:t>
      </w:r>
    </w:p>
    <w:p w:rsidR="00413ABA" w:rsidRPr="00AC6985" w:rsidRDefault="00413ABA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proofErr w:type="gramStart"/>
      <w:r w:rsidRPr="00AC6985">
        <w:rPr>
          <w:rFonts w:asciiTheme="majorBidi" w:hAnsiTheme="majorBidi" w:cstheme="majorBidi"/>
          <w:sz w:val="30"/>
          <w:szCs w:val="30"/>
          <w:lang w:val="en-US"/>
        </w:rPr>
        <w:t>International Association of Exchanges of the Commonwealth of Independent States (since 2008), Inter-exchange Electronic Union (since 2011), Association of Futures Markets (since 2011).</w:t>
      </w:r>
      <w:proofErr w:type="gramEnd"/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</w:p>
    <w:p w:rsidR="00741FED" w:rsidRPr="00AC6985" w:rsidRDefault="00741FED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p w:rsidR="0029678D" w:rsidRPr="00AC6985" w:rsidRDefault="0029678D" w:rsidP="00741FED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>BUCE’s key advantages:</w:t>
      </w:r>
    </w:p>
    <w:p w:rsidR="00741FED" w:rsidRPr="00AC6985" w:rsidRDefault="000C7C35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bCs/>
          <w:sz w:val="30"/>
          <w:szCs w:val="30"/>
          <w:lang w:val="en-US"/>
        </w:rPr>
        <w:t>market pricing</w:t>
      </w:r>
      <w:r w:rsidR="0029678D" w:rsidRPr="00AC6985">
        <w:rPr>
          <w:rFonts w:asciiTheme="majorBidi" w:hAnsiTheme="majorBidi" w:cstheme="majorBidi"/>
          <w:sz w:val="30"/>
          <w:szCs w:val="30"/>
          <w:lang w:val="en-US"/>
        </w:rPr>
        <w:t xml:space="preserve">; </w:t>
      </w:r>
    </w:p>
    <w:p w:rsidR="00741FED" w:rsidRPr="00AC6985" w:rsidRDefault="00725C32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wide range of tradable commodities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741FED" w:rsidRPr="00AC6985" w:rsidRDefault="003E0943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lastRenderedPageBreak/>
        <w:t>access to thousands of</w:t>
      </w:r>
      <w:r w:rsidR="00725C32"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 xml:space="preserve"> potential buyers and sellers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741FED" w:rsidRPr="00AC6985" w:rsidRDefault="00725C32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free accreditation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741FED" w:rsidRPr="00AC6985" w:rsidRDefault="00FF4F9F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ability to conclude multiple transactions within a short period of time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741FED" w:rsidRPr="00AC6985" w:rsidRDefault="003E0943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 xml:space="preserve">complete </w:t>
      </w:r>
      <w:r w:rsidR="00DC097C"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security of exchange transactions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741FED" w:rsidRPr="00AC6985" w:rsidRDefault="00DC097C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expert examination of exchange commodities</w:t>
      </w:r>
      <w:r w:rsidR="0029678D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;</w:t>
      </w:r>
    </w:p>
    <w:p w:rsidR="0029678D" w:rsidRPr="00AC6985" w:rsidRDefault="00DC097C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transportation and logistics services</w:t>
      </w:r>
      <w:r w:rsidR="00A60E99" w:rsidRPr="00AC6985">
        <w:rPr>
          <w:rFonts w:asciiTheme="majorBidi" w:eastAsia="Times New Roman" w:hAnsiTheme="majorBidi" w:cstheme="majorBidi"/>
          <w:sz w:val="30"/>
          <w:szCs w:val="30"/>
          <w:lang w:val="en-US" w:eastAsia="ru-RU"/>
        </w:rPr>
        <w:t>,</w:t>
      </w:r>
    </w:p>
    <w:p w:rsidR="00A60E99" w:rsidRPr="00AC6985" w:rsidRDefault="00A60E99" w:rsidP="00741FED">
      <w:pPr>
        <w:pStyle w:val="a4"/>
        <w:numPr>
          <w:ilvl w:val="0"/>
          <w:numId w:val="3"/>
        </w:numPr>
        <w:jc w:val="both"/>
        <w:rPr>
          <w:rFonts w:asciiTheme="majorBidi" w:hAnsiTheme="majorBidi" w:cstheme="majorBidi"/>
          <w:sz w:val="30"/>
          <w:szCs w:val="30"/>
          <w:lang w:val="en-US"/>
        </w:rPr>
      </w:pPr>
      <w:proofErr w:type="gramStart"/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>exchange</w:t>
      </w:r>
      <w:proofErr w:type="gramEnd"/>
      <w:r w:rsidRPr="00AC6985">
        <w:rPr>
          <w:rFonts w:asciiTheme="majorBidi" w:eastAsia="Times New Roman" w:hAnsiTheme="majorBidi" w:cstheme="majorBidi"/>
          <w:b/>
          <w:bCs/>
          <w:sz w:val="30"/>
          <w:szCs w:val="30"/>
          <w:lang w:val="en-US" w:eastAsia="ru-RU"/>
        </w:rPr>
        <w:t xml:space="preserve"> arbitration.</w:t>
      </w:r>
    </w:p>
    <w:p w:rsidR="0029678D" w:rsidRPr="00AC6985" w:rsidRDefault="00B24CD3" w:rsidP="009218E3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More detailed information about BUCE and latest statistics can be found </w:t>
      </w:r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t>here</w:t>
      </w:r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softHyphen/>
      </w:r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softHyphen/>
      </w:r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softHyphen/>
      </w:r>
      <w:r w:rsidR="00F4374E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at </w:t>
      </w:r>
      <w:hyperlink r:id="rId10" w:history="1">
        <w:r w:rsidR="00F4374E" w:rsidRPr="00AC6985">
          <w:rPr>
            <w:rStyle w:val="a5"/>
            <w:rFonts w:asciiTheme="majorBidi" w:hAnsiTheme="majorBidi" w:cstheme="majorBidi"/>
            <w:sz w:val="30"/>
            <w:szCs w:val="30"/>
            <w:lang w:val="en-US"/>
          </w:rPr>
          <w:t>www.butb.by</w:t>
        </w:r>
      </w:hyperlink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t xml:space="preserve">. Accreditation and EDS </w:t>
      </w:r>
      <w:r w:rsidR="009218E3" w:rsidRPr="00AC6985">
        <w:rPr>
          <w:rFonts w:asciiTheme="majorBidi" w:hAnsiTheme="majorBidi" w:cstheme="majorBidi"/>
          <w:sz w:val="30"/>
          <w:szCs w:val="30"/>
          <w:lang w:val="en-US"/>
        </w:rPr>
        <w:t xml:space="preserve">issuing procedures are described </w:t>
      </w:r>
      <w:r w:rsidR="00F4374E" w:rsidRPr="00AC6985">
        <w:rPr>
          <w:rFonts w:asciiTheme="majorBidi" w:hAnsiTheme="majorBidi" w:cstheme="majorBidi"/>
          <w:sz w:val="30"/>
          <w:szCs w:val="30"/>
          <w:lang w:val="en-US"/>
        </w:rPr>
        <w:t>at</w:t>
      </w:r>
      <w:r w:rsidR="009218E3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hyperlink r:id="rId11" w:history="1">
        <w:r w:rsidR="009218E3" w:rsidRPr="00AC6985">
          <w:rPr>
            <w:rStyle w:val="a5"/>
            <w:rFonts w:asciiTheme="majorBidi" w:hAnsiTheme="majorBidi" w:cstheme="majorBidi"/>
            <w:sz w:val="30"/>
            <w:szCs w:val="30"/>
            <w:lang w:val="en-US"/>
          </w:rPr>
          <w:t>www.engl.ecp.by</w:t>
        </w:r>
      </w:hyperlink>
      <w:r w:rsidR="009218E3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r w:rsidR="00142D76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</w:p>
    <w:p w:rsidR="00CA0583" w:rsidRPr="00AC6985" w:rsidRDefault="00CA0583" w:rsidP="00741FED">
      <w:pPr>
        <w:jc w:val="both"/>
        <w:rPr>
          <w:rFonts w:asciiTheme="majorBidi" w:hAnsiTheme="majorBidi" w:cstheme="majorBidi"/>
          <w:b/>
          <w:bCs/>
          <w:sz w:val="30"/>
          <w:szCs w:val="30"/>
          <w:lang w:val="en-US"/>
        </w:rPr>
      </w:pPr>
    </w:p>
    <w:p w:rsidR="0029678D" w:rsidRPr="00AC6985" w:rsidRDefault="00DC097C" w:rsidP="00741FED">
      <w:pPr>
        <w:jc w:val="both"/>
        <w:rPr>
          <w:rFonts w:asciiTheme="majorBidi" w:hAnsiTheme="majorBidi" w:cstheme="majorBidi"/>
          <w:b/>
          <w:bCs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b/>
          <w:bCs/>
          <w:sz w:val="30"/>
          <w:szCs w:val="30"/>
          <w:lang w:val="en-US"/>
        </w:rPr>
        <w:t>Contacts</w:t>
      </w:r>
      <w:r w:rsidR="0029678D" w:rsidRPr="00AC6985">
        <w:rPr>
          <w:rFonts w:asciiTheme="majorBidi" w:hAnsiTheme="majorBidi" w:cstheme="majorBidi"/>
          <w:b/>
          <w:bCs/>
          <w:sz w:val="30"/>
          <w:szCs w:val="30"/>
          <w:lang w:val="en-US"/>
        </w:rPr>
        <w:t>:</w:t>
      </w:r>
    </w:p>
    <w:p w:rsidR="0029678D" w:rsidRPr="00AC6985" w:rsidRDefault="00D26894" w:rsidP="00995164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For </w:t>
      </w:r>
      <w:r w:rsidR="00B24CD3" w:rsidRPr="00AC6985">
        <w:rPr>
          <w:rFonts w:asciiTheme="majorBidi" w:hAnsiTheme="majorBidi" w:cstheme="majorBidi"/>
          <w:sz w:val="30"/>
          <w:szCs w:val="30"/>
          <w:lang w:val="en-US"/>
        </w:rPr>
        <w:t>further details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r w:rsidR="00B24CD3" w:rsidRPr="00AC6985">
        <w:rPr>
          <w:rFonts w:asciiTheme="majorBidi" w:hAnsiTheme="majorBidi" w:cstheme="majorBidi"/>
          <w:sz w:val="30"/>
          <w:szCs w:val="30"/>
          <w:lang w:val="en-US"/>
        </w:rPr>
        <w:t>regarding</w:t>
      </w:r>
      <w:r w:rsidRPr="00AC6985">
        <w:rPr>
          <w:rFonts w:asciiTheme="majorBidi" w:hAnsiTheme="majorBidi" w:cstheme="majorBidi"/>
          <w:sz w:val="30"/>
          <w:szCs w:val="30"/>
          <w:lang w:val="en-US"/>
        </w:rPr>
        <w:t xml:space="preserve"> participation in exchange auctions, please, visit</w:t>
      </w:r>
      <w:r w:rsidR="0029678D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hyperlink r:id="rId12" w:history="1">
        <w:r w:rsidR="0029678D" w:rsidRPr="00AC6985">
          <w:rPr>
            <w:rFonts w:asciiTheme="majorBidi" w:hAnsiTheme="majorBidi" w:cstheme="majorBidi"/>
            <w:sz w:val="30"/>
            <w:szCs w:val="30"/>
            <w:lang w:val="en-US"/>
          </w:rPr>
          <w:t>www.butb.by</w:t>
        </w:r>
      </w:hyperlink>
      <w:r w:rsidR="0029678D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r w:rsidR="000A6861" w:rsidRPr="00AC6985">
        <w:rPr>
          <w:rFonts w:asciiTheme="majorBidi" w:hAnsiTheme="majorBidi" w:cstheme="majorBidi"/>
          <w:sz w:val="30"/>
          <w:szCs w:val="30"/>
          <w:lang w:val="en-US"/>
        </w:rPr>
        <w:t>or contac</w:t>
      </w:r>
      <w:r w:rsidR="00EF75B5" w:rsidRPr="00AC6985">
        <w:rPr>
          <w:rFonts w:asciiTheme="majorBidi" w:hAnsiTheme="majorBidi" w:cstheme="majorBidi"/>
          <w:sz w:val="30"/>
          <w:szCs w:val="30"/>
          <w:lang w:val="en-US"/>
        </w:rPr>
        <w:t>t</w:t>
      </w:r>
      <w:r w:rsidR="000A6861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us by telephone:</w:t>
      </w:r>
      <w:r w:rsidR="00995164" w:rsidRPr="00AC6985">
        <w:rPr>
          <w:rFonts w:asciiTheme="majorBidi" w:hAnsiTheme="majorBidi" w:cstheme="majorBidi"/>
          <w:sz w:val="30"/>
          <w:szCs w:val="30"/>
          <w:lang w:val="en-US"/>
        </w:rPr>
        <w:t xml:space="preserve"> </w:t>
      </w:r>
      <w:r w:rsidR="009C7735" w:rsidRPr="00AC6985">
        <w:rPr>
          <w:rFonts w:asciiTheme="majorBidi" w:hAnsiTheme="majorBidi" w:cstheme="majorBidi"/>
          <w:sz w:val="30"/>
          <w:szCs w:val="30"/>
          <w:lang w:val="en-US"/>
        </w:rPr>
        <w:t xml:space="preserve">Alexander </w:t>
      </w:r>
      <w:proofErr w:type="spellStart"/>
      <w:r w:rsidR="009C7735" w:rsidRPr="00AC6985">
        <w:rPr>
          <w:rFonts w:asciiTheme="majorBidi" w:hAnsiTheme="majorBidi" w:cstheme="majorBidi"/>
          <w:sz w:val="30"/>
          <w:szCs w:val="30"/>
          <w:lang w:val="en-US"/>
        </w:rPr>
        <w:t>Bashliy</w:t>
      </w:r>
      <w:proofErr w:type="spellEnd"/>
      <w:r w:rsidR="000A6861" w:rsidRPr="00AC6985">
        <w:rPr>
          <w:rFonts w:asciiTheme="majorBidi" w:hAnsiTheme="majorBidi" w:cstheme="majorBidi"/>
          <w:sz w:val="30"/>
          <w:szCs w:val="30"/>
          <w:lang w:val="en-US"/>
        </w:rPr>
        <w:t xml:space="preserve">, Head of </w:t>
      </w:r>
      <w:r w:rsidR="009C7735" w:rsidRPr="00AC6985">
        <w:rPr>
          <w:rFonts w:asciiTheme="majorBidi" w:hAnsiTheme="majorBidi" w:cstheme="majorBidi"/>
          <w:sz w:val="30"/>
          <w:szCs w:val="30"/>
          <w:lang w:val="en-US"/>
        </w:rPr>
        <w:t>Foreign Economic Relations</w:t>
      </w:r>
      <w:r w:rsidR="00EF75B5" w:rsidRPr="00AC6985">
        <w:rPr>
          <w:rFonts w:asciiTheme="majorBidi" w:hAnsiTheme="majorBidi" w:cstheme="majorBidi"/>
          <w:sz w:val="30"/>
          <w:szCs w:val="30"/>
          <w:lang w:val="en-US"/>
        </w:rPr>
        <w:t xml:space="preserve">:  </w:t>
      </w:r>
      <w:r w:rsidR="0029678D" w:rsidRPr="00AC6985">
        <w:rPr>
          <w:rFonts w:asciiTheme="majorBidi" w:hAnsiTheme="majorBidi" w:cstheme="majorBidi"/>
          <w:sz w:val="30"/>
          <w:szCs w:val="30"/>
          <w:lang w:val="en-US"/>
        </w:rPr>
        <w:t>(+375 17) 309</w:t>
      </w:r>
      <w:r w:rsidR="00EF75B5" w:rsidRPr="00AC6985">
        <w:rPr>
          <w:rFonts w:asciiTheme="majorBidi" w:hAnsiTheme="majorBidi" w:cstheme="majorBidi"/>
          <w:sz w:val="30"/>
          <w:szCs w:val="30"/>
          <w:lang w:val="en-US"/>
        </w:rPr>
        <w:t>-</w:t>
      </w:r>
      <w:r w:rsidR="009C7735" w:rsidRPr="00AC6985">
        <w:rPr>
          <w:rFonts w:asciiTheme="majorBidi" w:hAnsiTheme="majorBidi" w:cstheme="majorBidi"/>
          <w:sz w:val="30"/>
          <w:szCs w:val="30"/>
          <w:lang w:val="en-US"/>
        </w:rPr>
        <w:t>32</w:t>
      </w:r>
      <w:r w:rsidR="00EF75B5" w:rsidRPr="00AC6985">
        <w:rPr>
          <w:rFonts w:asciiTheme="majorBidi" w:hAnsiTheme="majorBidi" w:cstheme="majorBidi"/>
          <w:sz w:val="30"/>
          <w:szCs w:val="30"/>
          <w:lang w:val="en-US"/>
        </w:rPr>
        <w:t>-</w:t>
      </w:r>
      <w:r w:rsidR="009C7735" w:rsidRPr="00AC6985">
        <w:rPr>
          <w:rFonts w:asciiTheme="majorBidi" w:hAnsiTheme="majorBidi" w:cstheme="majorBidi"/>
          <w:sz w:val="30"/>
          <w:szCs w:val="30"/>
          <w:lang w:val="en-US"/>
        </w:rPr>
        <w:t>88</w:t>
      </w:r>
      <w:r w:rsidR="00EF75B5" w:rsidRPr="00AC6985">
        <w:rPr>
          <w:rFonts w:asciiTheme="majorBidi" w:hAnsiTheme="majorBidi" w:cstheme="majorBidi"/>
          <w:sz w:val="30"/>
          <w:szCs w:val="30"/>
          <w:lang w:val="en-US"/>
        </w:rPr>
        <w:t xml:space="preserve">, </w:t>
      </w:r>
      <w:hyperlink r:id="rId13" w:history="1">
        <w:r w:rsidR="003B07C9" w:rsidRPr="00AC6985">
          <w:rPr>
            <w:rFonts w:asciiTheme="majorBidi" w:hAnsiTheme="majorBidi" w:cstheme="majorBidi"/>
            <w:sz w:val="30"/>
            <w:szCs w:val="30"/>
            <w:lang w:val="en-US"/>
          </w:rPr>
          <w:t>a.bashliy@butb.by</w:t>
        </w:r>
      </w:hyperlink>
      <w:r w:rsidR="00AC6985">
        <w:rPr>
          <w:rFonts w:asciiTheme="majorBidi" w:hAnsiTheme="majorBidi" w:cstheme="majorBidi"/>
          <w:sz w:val="30"/>
          <w:szCs w:val="30"/>
          <w:lang w:val="en-US"/>
        </w:rPr>
        <w:t>.</w:t>
      </w:r>
    </w:p>
    <w:p w:rsidR="00D23998" w:rsidRPr="00AC6985" w:rsidRDefault="00D23998" w:rsidP="00995164">
      <w:pPr>
        <w:jc w:val="both"/>
        <w:rPr>
          <w:rFonts w:asciiTheme="majorBidi" w:hAnsiTheme="majorBidi" w:cstheme="majorBidi"/>
          <w:sz w:val="30"/>
          <w:szCs w:val="30"/>
          <w:lang w:val="en-US"/>
        </w:rPr>
      </w:pPr>
    </w:p>
    <w:sectPr w:rsidR="00D23998" w:rsidRPr="00AC6985" w:rsidSect="00AC698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999"/>
    <w:multiLevelType w:val="hybridMultilevel"/>
    <w:tmpl w:val="5C742792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">
    <w:nsid w:val="3C74645A"/>
    <w:multiLevelType w:val="hybridMultilevel"/>
    <w:tmpl w:val="226A9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E5C5D"/>
    <w:multiLevelType w:val="hybridMultilevel"/>
    <w:tmpl w:val="656AFF78"/>
    <w:lvl w:ilvl="0" w:tplc="E17E4AE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BA"/>
    <w:rsid w:val="0005076F"/>
    <w:rsid w:val="0007538C"/>
    <w:rsid w:val="00097B0B"/>
    <w:rsid w:val="000A6861"/>
    <w:rsid w:val="000C7C35"/>
    <w:rsid w:val="00142D76"/>
    <w:rsid w:val="00155C71"/>
    <w:rsid w:val="00162D36"/>
    <w:rsid w:val="001743DE"/>
    <w:rsid w:val="0023120F"/>
    <w:rsid w:val="002364AA"/>
    <w:rsid w:val="0029678D"/>
    <w:rsid w:val="003529F8"/>
    <w:rsid w:val="0035327B"/>
    <w:rsid w:val="003B07C9"/>
    <w:rsid w:val="003E0943"/>
    <w:rsid w:val="00413ABA"/>
    <w:rsid w:val="0047263F"/>
    <w:rsid w:val="00582C58"/>
    <w:rsid w:val="005F44A3"/>
    <w:rsid w:val="00662C73"/>
    <w:rsid w:val="00725C32"/>
    <w:rsid w:val="00741FED"/>
    <w:rsid w:val="007E23AB"/>
    <w:rsid w:val="008A2442"/>
    <w:rsid w:val="008B4AB4"/>
    <w:rsid w:val="009218E3"/>
    <w:rsid w:val="00995164"/>
    <w:rsid w:val="009C7735"/>
    <w:rsid w:val="00A01019"/>
    <w:rsid w:val="00A51ED9"/>
    <w:rsid w:val="00A60E99"/>
    <w:rsid w:val="00AA6796"/>
    <w:rsid w:val="00AC6985"/>
    <w:rsid w:val="00B037E2"/>
    <w:rsid w:val="00B24CD3"/>
    <w:rsid w:val="00B63B84"/>
    <w:rsid w:val="00BC539A"/>
    <w:rsid w:val="00BF1254"/>
    <w:rsid w:val="00C624F4"/>
    <w:rsid w:val="00CA0583"/>
    <w:rsid w:val="00CA0672"/>
    <w:rsid w:val="00CD6817"/>
    <w:rsid w:val="00CF711E"/>
    <w:rsid w:val="00D23998"/>
    <w:rsid w:val="00D26894"/>
    <w:rsid w:val="00D65CB3"/>
    <w:rsid w:val="00D77111"/>
    <w:rsid w:val="00DC097C"/>
    <w:rsid w:val="00EB7D5A"/>
    <w:rsid w:val="00EF75B5"/>
    <w:rsid w:val="00F4374E"/>
    <w:rsid w:val="00FA3486"/>
    <w:rsid w:val="00FF009E"/>
    <w:rsid w:val="00FF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лассик"/>
    <w:basedOn w:val="a"/>
    <w:qFormat/>
    <w:rsid w:val="008A2442"/>
    <w:pPr>
      <w:contextualSpacing/>
      <w:jc w:val="both"/>
    </w:pPr>
    <w:rPr>
      <w:rFonts w:asciiTheme="majorBidi" w:hAnsiTheme="majorBidi" w:cstheme="majorBidi"/>
      <w:bCs/>
      <w:sz w:val="28"/>
      <w:szCs w:val="28"/>
    </w:rPr>
  </w:style>
  <w:style w:type="paragraph" w:styleId="a4">
    <w:name w:val="List Paragraph"/>
    <w:basedOn w:val="a"/>
    <w:uiPriority w:val="34"/>
    <w:qFormat/>
    <w:rsid w:val="0029678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9218E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69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9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лассик"/>
    <w:basedOn w:val="a"/>
    <w:qFormat/>
    <w:rsid w:val="008A2442"/>
    <w:pPr>
      <w:contextualSpacing/>
      <w:jc w:val="both"/>
    </w:pPr>
    <w:rPr>
      <w:rFonts w:asciiTheme="majorBidi" w:hAnsiTheme="majorBidi" w:cstheme="majorBidi"/>
      <w:bCs/>
      <w:sz w:val="28"/>
      <w:szCs w:val="28"/>
    </w:rPr>
  </w:style>
  <w:style w:type="paragraph" w:styleId="a4">
    <w:name w:val="List Paragraph"/>
    <w:basedOn w:val="a"/>
    <w:uiPriority w:val="34"/>
    <w:qFormat/>
    <w:rsid w:val="0029678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9218E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69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9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.bashliy@butb.b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butb.b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engl.ecp.b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utb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Янив Роман Евгеньевич</dc:creator>
  <cp:lastModifiedBy>Титовец Евгений Геннадьевич</cp:lastModifiedBy>
  <cp:revision>2</cp:revision>
  <dcterms:created xsi:type="dcterms:W3CDTF">2016-05-26T12:56:00Z</dcterms:created>
  <dcterms:modified xsi:type="dcterms:W3CDTF">2016-05-26T12:56:00Z</dcterms:modified>
</cp:coreProperties>
</file>